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3EEC9944" w:rsidR="00221AE0" w:rsidRDefault="00614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614FA4">
        <w:rPr>
          <w:rFonts w:ascii="Century Gothic" w:eastAsia="Century Gothic" w:hAnsi="Century Gothic" w:cs="Century Gothic"/>
          <w:i/>
          <w:iCs/>
          <w:sz w:val="28"/>
          <w:szCs w:val="28"/>
        </w:rPr>
        <w:t>COVID-19 School Reopenings</w:t>
      </w:r>
      <w:r w:rsidR="00A94B1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- </w:t>
      </w: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5243554B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the political process of </w:t>
      </w:r>
      <w:r w:rsidR="00151D9D">
        <w:rPr>
          <w:rFonts w:ascii="Century Gothic" w:eastAsia="Century Gothic" w:hAnsi="Century Gothic" w:cs="Century Gothic"/>
          <w:sz w:val="21"/>
          <w:szCs w:val="21"/>
        </w:rPr>
        <w:t>reopening schools during the coronavirus pandemic.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 w:rsidR="00151D9D">
        <w:rPr>
          <w:rFonts w:ascii="Century Gothic" w:eastAsia="Century Gothic" w:hAnsi="Century Gothic" w:cs="Century Gothic"/>
          <w:sz w:val="21"/>
          <w:szCs w:val="21"/>
        </w:rPr>
        <w:t>What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unique and urgent problems </w:t>
      </w:r>
      <w:r w:rsidR="00151D9D">
        <w:rPr>
          <w:rFonts w:ascii="Century Gothic" w:eastAsia="Century Gothic" w:hAnsi="Century Gothic" w:cs="Century Gothic"/>
          <w:sz w:val="21"/>
          <w:szCs w:val="21"/>
        </w:rPr>
        <w:t>do schools face in order to reopen safely</w:t>
      </w:r>
      <w:r>
        <w:rPr>
          <w:rFonts w:ascii="Century Gothic" w:eastAsia="Century Gothic" w:hAnsi="Century Gothic" w:cs="Century Gothic"/>
          <w:sz w:val="21"/>
          <w:szCs w:val="21"/>
        </w:rPr>
        <w:t>?</w:t>
      </w:r>
    </w:p>
    <w:p w14:paraId="00000017" w14:textId="63DA29D9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the changing </w:t>
      </w:r>
      <w:r w:rsidR="00151D9D">
        <w:rPr>
          <w:rFonts w:ascii="Century Gothic" w:eastAsia="Century Gothic" w:hAnsi="Century Gothic" w:cs="Century Gothic"/>
          <w:sz w:val="21"/>
          <w:szCs w:val="21"/>
        </w:rPr>
        <w:t>policies with regards to school closures and reopenings. To what can we attribute the recent changes and the political will to reopen schools across the country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?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</w:p>
    <w:p w14:paraId="00000018" w14:textId="262238E3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Multiple Perspectives: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 w:rsidR="00151D9D">
        <w:rPr>
          <w:rFonts w:ascii="Century Gothic" w:eastAsia="Century Gothic" w:hAnsi="Century Gothic" w:cs="Century Gothic"/>
          <w:color w:val="000000"/>
          <w:sz w:val="21"/>
          <w:szCs w:val="21"/>
        </w:rPr>
        <w:t>Teachers unions want a seat at the table in when it comes to reopening schools. How can policy-makers work alongside educators to ensure all voices are heard and all needs met?</w:t>
      </w:r>
    </w:p>
    <w:p w14:paraId="00000019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151D9D"/>
    <w:rsid w:val="00221AE0"/>
    <w:rsid w:val="00614FA4"/>
    <w:rsid w:val="00A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FA91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3</cp:revision>
  <dcterms:created xsi:type="dcterms:W3CDTF">2021-02-05T22:01:00Z</dcterms:created>
  <dcterms:modified xsi:type="dcterms:W3CDTF">2021-02-05T22:15:00Z</dcterms:modified>
</cp:coreProperties>
</file>