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6A" w:rsidRPr="002033AE" w:rsidRDefault="00FC786A" w:rsidP="00561FF0">
      <w:pPr>
        <w:jc w:val="center"/>
        <w:rPr>
          <w:rFonts w:ascii="Bodoni 72 Oldstyle Book" w:hAnsi="Bodoni 72 Oldstyle Book"/>
          <w:b/>
          <w:sz w:val="28"/>
          <w:szCs w:val="28"/>
        </w:rPr>
      </w:pPr>
      <w:r w:rsidRPr="002033AE">
        <w:rPr>
          <w:rFonts w:ascii="Wanted LET" w:hAnsi="Wanted LET"/>
          <w:b/>
          <w:noProof/>
          <w:sz w:val="34"/>
        </w:rPr>
        <w:drawing>
          <wp:anchor distT="0" distB="0" distL="114300" distR="114300" simplePos="0" relativeHeight="251659264" behindDoc="1" locked="0" layoutInCell="1" allowOverlap="1" wp14:anchorId="12662FCA" wp14:editId="75440D5B">
            <wp:simplePos x="0" y="0"/>
            <wp:positionH relativeFrom="column">
              <wp:posOffset>-59690</wp:posOffset>
            </wp:positionH>
            <wp:positionV relativeFrom="paragraph">
              <wp:posOffset>92710</wp:posOffset>
            </wp:positionV>
            <wp:extent cx="699135" cy="1143000"/>
            <wp:effectExtent l="0" t="0" r="0" b="0"/>
            <wp:wrapTight wrapText="bothSides">
              <wp:wrapPolygon edited="0">
                <wp:start x="2354" y="0"/>
                <wp:lineTo x="0" y="0"/>
                <wp:lineTo x="0" y="1200"/>
                <wp:lineTo x="3531" y="3840"/>
                <wp:lineTo x="1569" y="4800"/>
                <wp:lineTo x="392" y="6240"/>
                <wp:lineTo x="785" y="7680"/>
                <wp:lineTo x="3139" y="11520"/>
                <wp:lineTo x="785" y="14400"/>
                <wp:lineTo x="0" y="15120"/>
                <wp:lineTo x="0" y="21360"/>
                <wp:lineTo x="20403" y="21360"/>
                <wp:lineTo x="21188" y="19440"/>
                <wp:lineTo x="21188" y="18960"/>
                <wp:lineTo x="20403" y="15360"/>
                <wp:lineTo x="18441" y="12720"/>
                <wp:lineTo x="17264" y="11520"/>
                <wp:lineTo x="19619" y="7680"/>
                <wp:lineTo x="20796" y="6000"/>
                <wp:lineTo x="19619" y="4560"/>
                <wp:lineTo x="10986" y="3840"/>
                <wp:lineTo x="11379" y="2880"/>
                <wp:lineTo x="9025" y="960"/>
                <wp:lineTo x="5886" y="0"/>
                <wp:lineTo x="23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AE">
        <w:rPr>
          <w:rFonts w:ascii="Bodoni 72 Oldstyle Book" w:hAnsi="Bodoni 72 Oldstyle Book"/>
          <w:b/>
          <w:smallCaps/>
          <w:sz w:val="28"/>
          <w:szCs w:val="28"/>
        </w:rPr>
        <w:t>Classroom Law Project</w:t>
      </w:r>
      <w:r>
        <w:rPr>
          <w:rFonts w:ascii="Bodoni 72 Oldstyle Book" w:hAnsi="Bodoni 72 Oldstyle Book"/>
          <w:b/>
          <w:sz w:val="28"/>
          <w:szCs w:val="28"/>
        </w:rPr>
        <w:t>’s</w:t>
      </w:r>
    </w:p>
    <w:p w:rsidR="00FC786A" w:rsidRDefault="00FC786A" w:rsidP="00FC786A">
      <w:pPr>
        <w:jc w:val="center"/>
        <w:rPr>
          <w:rFonts w:ascii="Bodoni 72 Oldstyle Book" w:hAnsi="Bodoni 72 Oldstyle Book"/>
          <w:b/>
          <w:sz w:val="34"/>
        </w:rPr>
      </w:pPr>
    </w:p>
    <w:p w:rsidR="00FC786A" w:rsidRDefault="00FC786A" w:rsidP="00FC786A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jc w:val="center"/>
        <w:rPr>
          <w:rFonts w:ascii="Bodoni 72 Oldstyle Book" w:hAnsi="Bodoni 72 Oldstyle Book"/>
          <w:b/>
          <w:sz w:val="34"/>
        </w:rPr>
      </w:pPr>
    </w:p>
    <w:p w:rsidR="00FC786A" w:rsidRPr="00FC786A" w:rsidRDefault="00FC786A" w:rsidP="00FC786A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jc w:val="center"/>
        <w:rPr>
          <w:rFonts w:ascii="Bodoni 72 Oldstyle Book" w:hAnsi="Bodoni 72 Oldstyle Book"/>
          <w:b/>
          <w:i/>
          <w:sz w:val="56"/>
          <w:szCs w:val="56"/>
        </w:rPr>
      </w:pPr>
      <w:r w:rsidRPr="00FC786A">
        <w:rPr>
          <w:rFonts w:ascii="Bodoni 72 Oldstyle Book" w:hAnsi="Bodoni 72 Oldstyle Book"/>
          <w:b/>
          <w:i/>
          <w:sz w:val="56"/>
          <w:szCs w:val="56"/>
        </w:rPr>
        <w:t xml:space="preserve">Elementary </w:t>
      </w:r>
      <w:r w:rsidR="00FC6E99">
        <w:rPr>
          <w:rFonts w:ascii="Bodoni 72 Oldstyle Book" w:hAnsi="Bodoni 72 Oldstyle Book"/>
          <w:b/>
          <w:i/>
          <w:sz w:val="56"/>
          <w:szCs w:val="56"/>
        </w:rPr>
        <w:t>Civics Literature</w:t>
      </w:r>
    </w:p>
    <w:p w:rsidR="00FC786A" w:rsidRDefault="00FC786A" w:rsidP="00FC786A">
      <w:pPr>
        <w:pBdr>
          <w:top w:val="thinThickSmallGap" w:sz="24" w:space="1" w:color="C00000" w:shadow="1"/>
          <w:left w:val="thinThickSmallGap" w:sz="24" w:space="4" w:color="C00000" w:shadow="1"/>
          <w:bottom w:val="thinThickSmallGap" w:sz="24" w:space="1" w:color="C00000" w:shadow="1"/>
          <w:right w:val="thinThickSmallGap" w:sz="24" w:space="4" w:color="C00000" w:shadow="1"/>
        </w:pBdr>
        <w:rPr>
          <w:rFonts w:ascii="Bodoni 72 Oldstyle Book" w:hAnsi="Bodoni 72 Oldstyle Book"/>
          <w:b/>
          <w:i/>
          <w:sz w:val="34"/>
        </w:rPr>
      </w:pPr>
    </w:p>
    <w:p w:rsidR="00FC786A" w:rsidRDefault="00FC786A" w:rsidP="00FC786A">
      <w:pPr>
        <w:jc w:val="center"/>
        <w:rPr>
          <w:rFonts w:ascii="Bodoni 72 Oldstyle Book" w:hAnsi="Bodoni 72 Oldstyle Book"/>
          <w:b/>
          <w:i/>
          <w:sz w:val="34"/>
        </w:rPr>
      </w:pPr>
    </w:p>
    <w:p w:rsidR="00FC786A" w:rsidRDefault="00FC6E99" w:rsidP="00FC786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working list of children’s </w:t>
      </w:r>
      <w:proofErr w:type="gramStart"/>
      <w:r>
        <w:rPr>
          <w:rFonts w:ascii="Century Gothic" w:hAnsi="Century Gothic"/>
          <w:sz w:val="22"/>
          <w:szCs w:val="22"/>
        </w:rPr>
        <w:t>literature</w:t>
      </w:r>
      <w:proofErr w:type="gramEnd"/>
      <w:r>
        <w:rPr>
          <w:rFonts w:ascii="Century Gothic" w:hAnsi="Century Gothic"/>
          <w:sz w:val="22"/>
          <w:szCs w:val="22"/>
        </w:rPr>
        <w:t xml:space="preserve"> we like for teaching important civic skills (such as justice, truth, empathy, understanding, communication, advocacy, problem solving, and conflict resolution):</w:t>
      </w:r>
    </w:p>
    <w:p w:rsidR="00FC6E99" w:rsidRDefault="00FC6E99" w:rsidP="00FC786A">
      <w:pPr>
        <w:rPr>
          <w:rFonts w:ascii="Century Gothic" w:hAnsi="Century Gothic"/>
          <w:sz w:val="22"/>
          <w:szCs w:val="22"/>
        </w:rPr>
      </w:pPr>
    </w:p>
    <w:p w:rsidR="00285A47" w:rsidRDefault="00285A47" w:rsidP="00FC786A">
      <w:pPr>
        <w:rPr>
          <w:rFonts w:ascii="Century Gothic" w:hAnsi="Century Gothic"/>
          <w:sz w:val="22"/>
          <w:szCs w:val="22"/>
        </w:rPr>
      </w:pPr>
    </w:p>
    <w:p w:rsidR="00285A47" w:rsidRDefault="00285A47" w:rsidP="00FC786A">
      <w:pPr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Cheney, L. (2008). </w:t>
      </w:r>
      <w:r w:rsidRPr="00285A47">
        <w:rPr>
          <w:rFonts w:ascii="Century Gothic" w:hAnsi="Century Gothic"/>
          <w:b/>
          <w:i/>
          <w:sz w:val="22"/>
          <w:szCs w:val="22"/>
        </w:rPr>
        <w:t xml:space="preserve">We the People: </w:t>
      </w:r>
      <w:proofErr w:type="gramStart"/>
      <w:r w:rsidRPr="00285A47">
        <w:rPr>
          <w:rFonts w:ascii="Century Gothic" w:hAnsi="Century Gothic"/>
          <w:b/>
          <w:i/>
          <w:sz w:val="22"/>
          <w:szCs w:val="22"/>
        </w:rPr>
        <w:t>the</w:t>
      </w:r>
      <w:proofErr w:type="gramEnd"/>
      <w:r w:rsidRPr="00285A47">
        <w:rPr>
          <w:rFonts w:ascii="Century Gothic" w:hAnsi="Century Gothic"/>
          <w:b/>
          <w:i/>
          <w:sz w:val="22"/>
          <w:szCs w:val="22"/>
        </w:rPr>
        <w:t xml:space="preserve"> Story of Our Constitution</w:t>
      </w:r>
      <w:r>
        <w:rPr>
          <w:rFonts w:ascii="Century Gothic" w:hAnsi="Century Gothic"/>
          <w:sz w:val="22"/>
          <w:szCs w:val="22"/>
        </w:rPr>
        <w:t>. New York: Simon &amp; Schuster, Inc.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Cronin, D. (2000). </w:t>
      </w:r>
      <w:r w:rsidRPr="00285A47">
        <w:rPr>
          <w:rFonts w:ascii="Century Gothic" w:hAnsi="Century Gothic"/>
          <w:b/>
          <w:i/>
          <w:sz w:val="22"/>
          <w:szCs w:val="22"/>
        </w:rPr>
        <w:t>Click, Clack, Moo - Cows that Type</w:t>
      </w:r>
      <w:r>
        <w:rPr>
          <w:rFonts w:ascii="Century Gothic" w:hAnsi="Century Gothic"/>
          <w:sz w:val="22"/>
          <w:szCs w:val="22"/>
        </w:rPr>
        <w:t>. New York: Simon &amp; Schuster, Inc.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Eggers, D. (2018). </w:t>
      </w:r>
      <w:r w:rsidRPr="00285A47">
        <w:rPr>
          <w:rFonts w:ascii="Century Gothic" w:hAnsi="Century Gothic"/>
          <w:b/>
          <w:i/>
          <w:sz w:val="22"/>
          <w:szCs w:val="22"/>
        </w:rPr>
        <w:t>What Can a Citizen Do?</w:t>
      </w:r>
      <w:r>
        <w:rPr>
          <w:rFonts w:ascii="Century Gothic" w:hAnsi="Century Gothic"/>
          <w:sz w:val="22"/>
          <w:szCs w:val="22"/>
        </w:rPr>
        <w:t xml:space="preserve"> San Francisco: Chronicle Books LLC.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Levine, E. and Nelson, K. (2007). </w:t>
      </w:r>
      <w:r w:rsidRPr="00285A47">
        <w:rPr>
          <w:rFonts w:ascii="Century Gothic" w:hAnsi="Century Gothic"/>
          <w:b/>
          <w:i/>
          <w:sz w:val="22"/>
          <w:szCs w:val="22"/>
        </w:rPr>
        <w:t>Henry’s Freedom Box: A true Story from the Underground Railroad</w:t>
      </w:r>
      <w:r>
        <w:rPr>
          <w:rFonts w:ascii="Century Gothic" w:hAnsi="Century Gothic"/>
          <w:sz w:val="22"/>
          <w:szCs w:val="22"/>
        </w:rPr>
        <w:t>. New York: Scholastic.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Levinson, C. (2017). </w:t>
      </w:r>
      <w:r w:rsidRPr="00285A47">
        <w:rPr>
          <w:rFonts w:ascii="Century Gothic" w:hAnsi="Century Gothic"/>
          <w:b/>
          <w:i/>
          <w:sz w:val="22"/>
          <w:szCs w:val="22"/>
        </w:rPr>
        <w:t>The Youngest Marcher: The Story of Audrey Faye Hendricks a Young Civil Rights Activist</w:t>
      </w:r>
      <w:r>
        <w:rPr>
          <w:rFonts w:ascii="Century Gothic" w:hAnsi="Century Gothic"/>
          <w:sz w:val="22"/>
          <w:szCs w:val="22"/>
        </w:rPr>
        <w:t>. New York: Simon &amp; Schuster, Inc.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Mora, P. </w:t>
      </w:r>
      <w:r>
        <w:rPr>
          <w:rFonts w:ascii="Century Gothic" w:hAnsi="Century Gothic"/>
          <w:sz w:val="22"/>
          <w:szCs w:val="22"/>
        </w:rPr>
        <w:t xml:space="preserve"> and Martinez, L. (2014). </w:t>
      </w:r>
      <w:r w:rsidRPr="00285A47">
        <w:rPr>
          <w:rFonts w:ascii="Century Gothic" w:hAnsi="Century Gothic"/>
          <w:b/>
          <w:i/>
          <w:sz w:val="22"/>
          <w:szCs w:val="22"/>
        </w:rPr>
        <w:t>I Pledge Allegiance</w:t>
      </w:r>
      <w:r>
        <w:rPr>
          <w:rFonts w:ascii="Century Gothic" w:hAnsi="Century Gothic"/>
          <w:sz w:val="22"/>
          <w:szCs w:val="22"/>
        </w:rPr>
        <w:t>. New York: Dragonfly Books.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Munson, D. (2000). </w:t>
      </w:r>
      <w:r w:rsidRPr="00285A47">
        <w:rPr>
          <w:rFonts w:ascii="Century Gothic" w:hAnsi="Century Gothic"/>
          <w:b/>
          <w:i/>
          <w:sz w:val="22"/>
          <w:szCs w:val="22"/>
        </w:rPr>
        <w:t>Enemy Pie.</w:t>
      </w:r>
      <w:r>
        <w:rPr>
          <w:rFonts w:ascii="Century Gothic" w:hAnsi="Century Gothic"/>
          <w:sz w:val="22"/>
          <w:szCs w:val="22"/>
        </w:rPr>
        <w:t xml:space="preserve"> New York: Scholastic.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Osorino</w:t>
      </w:r>
      <w:proofErr w:type="spellEnd"/>
      <w:r>
        <w:rPr>
          <w:rFonts w:ascii="Century Gothic" w:hAnsi="Century Gothic"/>
          <w:sz w:val="22"/>
          <w:szCs w:val="22"/>
        </w:rPr>
        <w:t xml:space="preserve">, C. (2010). </w:t>
      </w:r>
      <w:r w:rsidRPr="00285A47">
        <w:rPr>
          <w:rFonts w:ascii="Century Gothic" w:hAnsi="Century Gothic"/>
          <w:b/>
          <w:i/>
          <w:sz w:val="22"/>
          <w:szCs w:val="22"/>
        </w:rPr>
        <w:t>The Declaration of Independence from A to Z.</w:t>
      </w:r>
      <w:r>
        <w:rPr>
          <w:rFonts w:ascii="Century Gothic" w:hAnsi="Century Gothic"/>
          <w:sz w:val="22"/>
          <w:szCs w:val="22"/>
        </w:rPr>
        <w:t xml:space="preserve"> Gretna, Louisiana: Pelican Publishing Company, Inc.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Schanzer</w:t>
      </w:r>
      <w:proofErr w:type="spellEnd"/>
      <w:r>
        <w:rPr>
          <w:rFonts w:ascii="Century Gothic" w:hAnsi="Century Gothic"/>
          <w:sz w:val="22"/>
          <w:szCs w:val="22"/>
        </w:rPr>
        <w:t xml:space="preserve">, R. (2004). </w:t>
      </w:r>
      <w:r w:rsidRPr="00285A47">
        <w:rPr>
          <w:rFonts w:ascii="Century Gothic" w:hAnsi="Century Gothic"/>
          <w:b/>
          <w:i/>
          <w:sz w:val="22"/>
          <w:szCs w:val="22"/>
        </w:rPr>
        <w:t>George vs. George: The American Revolution as seen from Both Sides</w:t>
      </w:r>
      <w:r>
        <w:rPr>
          <w:rFonts w:ascii="Century Gothic" w:hAnsi="Century Gothic"/>
          <w:sz w:val="22"/>
          <w:szCs w:val="22"/>
        </w:rPr>
        <w:t>. New York: Scholastic.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Skeers</w:t>
      </w:r>
      <w:proofErr w:type="spellEnd"/>
      <w:r>
        <w:rPr>
          <w:rFonts w:ascii="Century Gothic" w:hAnsi="Century Gothic"/>
          <w:sz w:val="22"/>
          <w:szCs w:val="22"/>
        </w:rPr>
        <w:t xml:space="preserve">, L. (2007). </w:t>
      </w:r>
      <w:r w:rsidRPr="00285A47">
        <w:rPr>
          <w:rFonts w:ascii="Century Gothic" w:hAnsi="Century Gothic"/>
          <w:b/>
          <w:i/>
          <w:sz w:val="22"/>
          <w:szCs w:val="22"/>
        </w:rPr>
        <w:t>The Impossible Patriotism Project</w:t>
      </w:r>
      <w:r>
        <w:rPr>
          <w:rFonts w:ascii="Century Gothic" w:hAnsi="Century Gothic"/>
          <w:sz w:val="22"/>
          <w:szCs w:val="22"/>
        </w:rPr>
        <w:t>. New York: Puffin Books.</w:t>
      </w: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</w:p>
    <w:p w:rsidR="00285A47" w:rsidRDefault="00285A47" w:rsidP="00285A47">
      <w:pPr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Stone, T. (2008). </w:t>
      </w:r>
      <w:r w:rsidRPr="00285A47">
        <w:rPr>
          <w:rFonts w:ascii="Century Gothic" w:hAnsi="Century Gothic"/>
          <w:b/>
          <w:i/>
          <w:sz w:val="22"/>
          <w:szCs w:val="22"/>
        </w:rPr>
        <w:t>Elizabeth Leads the Way: Elizabeth Cady Stanton and the Right to Vote</w:t>
      </w:r>
      <w:r>
        <w:rPr>
          <w:rFonts w:ascii="Century Gothic" w:hAnsi="Century Gothic"/>
          <w:sz w:val="22"/>
          <w:szCs w:val="22"/>
        </w:rPr>
        <w:t>. New York: Scholastic.</w:t>
      </w:r>
      <w:bookmarkStart w:id="0" w:name="_GoBack"/>
      <w:bookmarkEnd w:id="0"/>
    </w:p>
    <w:sectPr w:rsidR="00285A47" w:rsidSect="00FC78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anted LET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A"/>
    <w:rsid w:val="001B6975"/>
    <w:rsid w:val="00285A47"/>
    <w:rsid w:val="00450377"/>
    <w:rsid w:val="00561FF0"/>
    <w:rsid w:val="0069014D"/>
    <w:rsid w:val="00AA24DF"/>
    <w:rsid w:val="00E7280A"/>
    <w:rsid w:val="00E82D09"/>
    <w:rsid w:val="00FC6E99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14602"/>
  <w15:chartTrackingRefBased/>
  <w15:docId w15:val="{646BB012-2D60-2042-A340-D88818E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2019-03-08T18:09:00Z</cp:lastPrinted>
  <dcterms:created xsi:type="dcterms:W3CDTF">2019-03-08T18:09:00Z</dcterms:created>
  <dcterms:modified xsi:type="dcterms:W3CDTF">2019-03-08T18:09:00Z</dcterms:modified>
</cp:coreProperties>
</file>