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7F73" w14:textId="31E2D096" w:rsidR="00E44085" w:rsidRPr="00CE46F0" w:rsidRDefault="00E44085" w:rsidP="00526A64">
      <w:pPr>
        <w:ind w:left="720" w:right="720"/>
        <w:jc w:val="center"/>
        <w:rPr>
          <w:rFonts w:ascii="Century Gothic" w:hAnsi="Century Gothic"/>
          <w:b/>
        </w:rPr>
      </w:pPr>
    </w:p>
    <w:p w14:paraId="19840BFC" w14:textId="53766D10" w:rsidR="00E44085" w:rsidRPr="00CE46F0" w:rsidRDefault="00526A64" w:rsidP="00CE46F0">
      <w:pPr>
        <w:ind w:right="720"/>
        <w:jc w:val="center"/>
        <w:rPr>
          <w:rFonts w:ascii="Century Gothic" w:hAnsi="Century Gothic"/>
          <w:b/>
          <w:smallCaps/>
          <w:sz w:val="40"/>
          <w:szCs w:val="40"/>
        </w:rPr>
      </w:pPr>
      <w:r w:rsidRPr="00CE46F0">
        <w:rPr>
          <w:rFonts w:ascii="Century Gothic" w:hAnsi="Century Gothic"/>
          <w:b/>
          <w:smallCaps/>
          <w:sz w:val="40"/>
          <w:szCs w:val="40"/>
        </w:rPr>
        <w:t>Extend the Resources</w:t>
      </w:r>
    </w:p>
    <w:p w14:paraId="0142EB63" w14:textId="5F173476" w:rsidR="006A334D" w:rsidRPr="00CE46F0" w:rsidRDefault="002269A7" w:rsidP="00CE46F0">
      <w:pPr>
        <w:ind w:right="720"/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The Supreme Court &amp; DACA</w:t>
      </w:r>
    </w:p>
    <w:p w14:paraId="34E109F4" w14:textId="3847B3AD" w:rsidR="00E44085" w:rsidRPr="00526A64" w:rsidRDefault="00E44085" w:rsidP="00526A64">
      <w:pPr>
        <w:ind w:left="720" w:right="720"/>
        <w:rPr>
          <w:rFonts w:ascii="Century Gothic" w:hAnsi="Century Gothic"/>
          <w:bCs/>
        </w:rPr>
      </w:pPr>
    </w:p>
    <w:p w14:paraId="3ADC924B" w14:textId="77777777" w:rsidR="006A334D" w:rsidRDefault="006A334D" w:rsidP="00526A64">
      <w:pPr>
        <w:ind w:left="720" w:right="720"/>
        <w:rPr>
          <w:rFonts w:ascii="Century Gothic" w:hAnsi="Century Gothic"/>
          <w:bCs/>
        </w:rPr>
      </w:pPr>
    </w:p>
    <w:p w14:paraId="68B6ED3D" w14:textId="27EC99FF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  <w:r w:rsidRPr="00526A64">
        <w:rPr>
          <w:rFonts w:ascii="Century Gothic" w:hAnsi="Century Gothic"/>
          <w:bCs/>
        </w:rPr>
        <w:t>Below are a list of ideas and ways you might use the resources provided on this Classroom Law Project resource page to extend learning and civic engagement for your students:</w:t>
      </w:r>
    </w:p>
    <w:p w14:paraId="4977D960" w14:textId="15DB1E74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00970567" w:rsidR="00526A64" w:rsidRP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the topic of </w:t>
      </w:r>
      <w:r w:rsidR="002269A7">
        <w:rPr>
          <w:rFonts w:ascii="Century Gothic" w:hAnsi="Century Gothic"/>
          <w:bCs/>
          <w:sz w:val="22"/>
          <w:szCs w:val="22"/>
        </w:rPr>
        <w:t>DACA and the court cases that seek to both end and protect the program</w:t>
      </w:r>
      <w:r>
        <w:rPr>
          <w:rFonts w:ascii="Century Gothic" w:hAnsi="Century Gothic"/>
          <w:bCs/>
          <w:sz w:val="22"/>
          <w:szCs w:val="22"/>
        </w:rPr>
        <w:t xml:space="preserve">.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There is a</w:t>
      </w:r>
      <w:r w:rsidR="00CE46F0">
        <w:rPr>
          <w:rFonts w:ascii="Century Gothic" w:hAnsi="Century Gothic"/>
          <w:bCs/>
          <w:sz w:val="22"/>
          <w:szCs w:val="22"/>
        </w:rPr>
        <w:t xml:space="preserve">n avenue into the topic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that will reach any student’s interest.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>of interest and start with that.</w:t>
      </w:r>
    </w:p>
    <w:p w14:paraId="6BAA186A" w14:textId="777781D5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2AC52A44" w:rsid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68F34F9D" w14:textId="77777777" w:rsidR="00BF2090" w:rsidRPr="00526A64" w:rsidRDefault="00BF2090" w:rsidP="00526A64">
      <w:pPr>
        <w:ind w:left="720" w:right="720"/>
        <w:rPr>
          <w:rFonts w:ascii="Century Gothic" w:hAnsi="Century Gothic"/>
          <w:b/>
        </w:rPr>
      </w:pPr>
    </w:p>
    <w:p w14:paraId="19EACE3C" w14:textId="005C0147" w:rsidR="00526A64" w:rsidRP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5D9DCAED" w14:textId="07957713" w:rsid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(Research Tips handout on current event page)</w:t>
      </w:r>
    </w:p>
    <w:p w14:paraId="622F2B6C" w14:textId="1D239B84" w:rsidR="00526A64" w:rsidRP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 xml:space="preserve">Annotated summaries of </w:t>
      </w:r>
      <w:r w:rsidR="00CE46F0">
        <w:rPr>
          <w:rFonts w:ascii="Century Gothic" w:hAnsi="Century Gothic"/>
          <w:bCs/>
          <w:sz w:val="21"/>
          <w:szCs w:val="21"/>
        </w:rPr>
        <w:t xml:space="preserve">some of the </w:t>
      </w:r>
      <w:r w:rsidRPr="00526A64">
        <w:rPr>
          <w:rFonts w:ascii="Century Gothic" w:hAnsi="Century Gothic"/>
          <w:bCs/>
          <w:sz w:val="21"/>
          <w:szCs w:val="21"/>
        </w:rPr>
        <w:t>articles</w:t>
      </w:r>
      <w:r w:rsidR="00CE46F0">
        <w:rPr>
          <w:rFonts w:ascii="Century Gothic" w:hAnsi="Century Gothic"/>
          <w:bCs/>
          <w:sz w:val="21"/>
          <w:szCs w:val="21"/>
        </w:rPr>
        <w:t xml:space="preserve"> provided</w:t>
      </w:r>
    </w:p>
    <w:p w14:paraId="44253135" w14:textId="3CB6FBD6" w:rsid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Socratic discussions with shared article texts</w:t>
      </w:r>
    </w:p>
    <w:p w14:paraId="52E81C28" w14:textId="0D3B6720" w:rsidR="002269A7" w:rsidRDefault="002269A7" w:rsidP="002269A7">
      <w:pPr>
        <w:snapToGrid w:val="0"/>
        <w:spacing w:after="120"/>
        <w:ind w:right="720"/>
        <w:rPr>
          <w:rFonts w:ascii="Century Gothic" w:hAnsi="Century Gothic"/>
          <w:bCs/>
          <w:sz w:val="21"/>
          <w:szCs w:val="21"/>
        </w:rPr>
      </w:pPr>
    </w:p>
    <w:p w14:paraId="3AEFE47B" w14:textId="7D317ED3" w:rsidR="002269A7" w:rsidRPr="002269A7" w:rsidRDefault="002269A7" w:rsidP="002269A7">
      <w:pPr>
        <w:snapToGrid w:val="0"/>
        <w:spacing w:after="120"/>
        <w:ind w:left="720" w:right="720"/>
        <w:rPr>
          <w:rFonts w:ascii="Century Gothic" w:hAnsi="Century Gothic"/>
          <w:b/>
        </w:rPr>
      </w:pPr>
      <w:r w:rsidRPr="002269A7">
        <w:rPr>
          <w:rFonts w:ascii="Century Gothic" w:hAnsi="Century Gothic"/>
          <w:b/>
        </w:rPr>
        <w:t>Extensions with the Maps &amp; Data:</w:t>
      </w:r>
    </w:p>
    <w:p w14:paraId="6EDB53EB" w14:textId="48A8A06C" w:rsidR="002269A7" w:rsidRDefault="002269A7" w:rsidP="002269A7">
      <w:pPr>
        <w:snapToGrid w:val="0"/>
        <w:spacing w:after="120"/>
        <w:ind w:left="72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There is a lot of data available, as well as interactive maps about where DACA recipients live.</w:t>
      </w:r>
    </w:p>
    <w:p w14:paraId="081F257B" w14:textId="734B27C4" w:rsidR="002269A7" w:rsidRPr="002269A7" w:rsidRDefault="002269A7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 w:rsidRPr="002269A7">
        <w:rPr>
          <w:rFonts w:ascii="Century Gothic" w:hAnsi="Century Gothic"/>
          <w:bCs/>
          <w:sz w:val="21"/>
          <w:szCs w:val="21"/>
        </w:rPr>
        <w:t>Students may want to dig more deeply into their own region</w:t>
      </w:r>
    </w:p>
    <w:p w14:paraId="22D340DF" w14:textId="14FE4FAF" w:rsidR="002269A7" w:rsidRPr="002269A7" w:rsidRDefault="002269A7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 w:rsidRPr="002269A7">
        <w:rPr>
          <w:rFonts w:ascii="Century Gothic" w:hAnsi="Century Gothic"/>
          <w:bCs/>
          <w:sz w:val="21"/>
          <w:szCs w:val="21"/>
        </w:rPr>
        <w:t>How might the geographic distribution of DACA recipients affect the US economically and culturally if the program is ended?</w:t>
      </w:r>
    </w:p>
    <w:p w14:paraId="7B43B4F4" w14:textId="5C1CDB1A" w:rsidR="002269A7" w:rsidRPr="002269A7" w:rsidRDefault="002269A7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 w:rsidRPr="002269A7">
        <w:rPr>
          <w:rFonts w:ascii="Century Gothic" w:hAnsi="Century Gothic"/>
          <w:bCs/>
          <w:sz w:val="21"/>
          <w:szCs w:val="21"/>
        </w:rPr>
        <w:t>What parts of the country might be more affected by ending DACA?</w:t>
      </w:r>
    </w:p>
    <w:p w14:paraId="3335358D" w14:textId="1B5434CC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0CB55040" w14:textId="2D46D48B" w:rsidR="006A334D" w:rsidRDefault="006A334D" w:rsidP="006A334D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Extensions with Constitutional / Legal Analysis</w:t>
      </w:r>
      <w:r w:rsidRPr="00526A64">
        <w:rPr>
          <w:rFonts w:ascii="Century Gothic" w:hAnsi="Century Gothic"/>
          <w:b/>
        </w:rPr>
        <w:t>:</w:t>
      </w:r>
    </w:p>
    <w:p w14:paraId="759DBA70" w14:textId="77777777" w:rsidR="006A334D" w:rsidRPr="00526A64" w:rsidRDefault="006A334D" w:rsidP="006A334D">
      <w:pPr>
        <w:ind w:left="720" w:right="720"/>
        <w:rPr>
          <w:rFonts w:ascii="Century Gothic" w:hAnsi="Century Gothic"/>
          <w:b/>
        </w:rPr>
      </w:pPr>
    </w:p>
    <w:p w14:paraId="6EC8F1F4" w14:textId="628DF920" w:rsidR="006A334D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Dig more deeply into the </w:t>
      </w:r>
      <w:r w:rsidRPr="00CE46F0">
        <w:rPr>
          <w:rFonts w:ascii="Century Gothic" w:hAnsi="Century Gothic"/>
          <w:b/>
          <w:sz w:val="21"/>
          <w:szCs w:val="21"/>
        </w:rPr>
        <w:t>Essential Questions</w:t>
      </w:r>
      <w:r>
        <w:rPr>
          <w:rFonts w:ascii="Century Gothic" w:hAnsi="Century Gothic"/>
          <w:bCs/>
          <w:sz w:val="21"/>
          <w:szCs w:val="21"/>
        </w:rPr>
        <w:t xml:space="preserve"> in this Current Event about </w:t>
      </w:r>
      <w:r w:rsidR="002269A7">
        <w:rPr>
          <w:rFonts w:ascii="Century Gothic" w:hAnsi="Century Gothic"/>
          <w:bCs/>
          <w:sz w:val="21"/>
          <w:szCs w:val="21"/>
        </w:rPr>
        <w:t>DACA and executive power to enact the policy. Should the president be able to take action if the Congress does not? What might the Constitution say about that?</w:t>
      </w:r>
    </w:p>
    <w:p w14:paraId="5B19B45E" w14:textId="457D06E8" w:rsidR="00BF2090" w:rsidRDefault="002269A7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Use the Constitutional Critique handout to ask kids to compare the essential point of DACA against the Preamble AND the 14</w:t>
      </w:r>
      <w:r w:rsidRPr="002269A7">
        <w:rPr>
          <w:rFonts w:ascii="Century Gothic" w:hAnsi="Century Gothic"/>
          <w:bCs/>
          <w:sz w:val="21"/>
          <w:szCs w:val="21"/>
          <w:vertAlign w:val="superscript"/>
        </w:rPr>
        <w:t>th</w:t>
      </w:r>
      <w:r>
        <w:rPr>
          <w:rFonts w:ascii="Century Gothic" w:hAnsi="Century Gothic"/>
          <w:bCs/>
          <w:sz w:val="21"/>
          <w:szCs w:val="21"/>
        </w:rPr>
        <w:t xml:space="preserve"> Amendment and whether they think DACA is constitutional or not.</w:t>
      </w:r>
    </w:p>
    <w:p w14:paraId="281F373A" w14:textId="53C557FB" w:rsidR="00CE46F0" w:rsidRDefault="002269A7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Dig more deeply into Supreme Court cases about Immigration and how the Court has treated the issue previously. What factors might impact the Court’s decision on the issue now?</w:t>
      </w:r>
      <w:bookmarkStart w:id="0" w:name="_GoBack"/>
      <w:bookmarkEnd w:id="0"/>
    </w:p>
    <w:sectPr w:rsidR="00CE46F0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15AA3"/>
    <w:multiLevelType w:val="hybridMultilevel"/>
    <w:tmpl w:val="EDD6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2269A7"/>
    <w:rsid w:val="00380EFB"/>
    <w:rsid w:val="00526A64"/>
    <w:rsid w:val="0069014D"/>
    <w:rsid w:val="006A334D"/>
    <w:rsid w:val="006D2570"/>
    <w:rsid w:val="007A2B50"/>
    <w:rsid w:val="00936E17"/>
    <w:rsid w:val="00AA24DF"/>
    <w:rsid w:val="00AE5DE4"/>
    <w:rsid w:val="00BA5B04"/>
    <w:rsid w:val="00BF2090"/>
    <w:rsid w:val="00C55F60"/>
    <w:rsid w:val="00CE46F0"/>
    <w:rsid w:val="00D214E5"/>
    <w:rsid w:val="00DA3449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2019-11-18T19:04:00Z</dcterms:created>
  <dcterms:modified xsi:type="dcterms:W3CDTF">2019-11-18T19:04:00Z</dcterms:modified>
</cp:coreProperties>
</file>