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80D45" w14:textId="77777777" w:rsidR="004303A3" w:rsidRPr="004303A3" w:rsidRDefault="004303A3">
      <w:pPr>
        <w:rPr>
          <w:rFonts w:ascii="Century Gothic" w:hAnsi="Century Gothic"/>
          <w:b/>
          <w:bCs/>
          <w:i/>
          <w:iCs/>
          <w:sz w:val="22"/>
          <w:szCs w:val="22"/>
        </w:rPr>
      </w:pPr>
      <w:r w:rsidRPr="004303A3">
        <w:rPr>
          <w:rFonts w:ascii="Century Gothic" w:hAnsi="Century Gothic"/>
          <w:b/>
          <w:bCs/>
          <w:i/>
          <w:iCs/>
          <w:sz w:val="22"/>
          <w:szCs w:val="22"/>
        </w:rPr>
        <w:t xml:space="preserve">We the People: </w:t>
      </w:r>
      <w:proofErr w:type="gramStart"/>
      <w:r w:rsidRPr="004303A3">
        <w:rPr>
          <w:rFonts w:ascii="Century Gothic" w:hAnsi="Century Gothic"/>
          <w:b/>
          <w:bCs/>
          <w:i/>
          <w:iCs/>
          <w:sz w:val="22"/>
          <w:szCs w:val="22"/>
        </w:rPr>
        <w:t>the</w:t>
      </w:r>
      <w:proofErr w:type="gramEnd"/>
      <w:r w:rsidRPr="004303A3">
        <w:rPr>
          <w:rFonts w:ascii="Century Gothic" w:hAnsi="Century Gothic"/>
          <w:b/>
          <w:bCs/>
          <w:i/>
          <w:iCs/>
          <w:sz w:val="22"/>
          <w:szCs w:val="22"/>
        </w:rPr>
        <w:t xml:space="preserve"> Citizen &amp; the Constitution</w:t>
      </w:r>
    </w:p>
    <w:p w14:paraId="3688B5A1" w14:textId="3D06C31D" w:rsidR="00B95AF2" w:rsidRPr="004303A3" w:rsidRDefault="004303A3">
      <w:pPr>
        <w:rPr>
          <w:rFonts w:ascii="Century Gothic" w:hAnsi="Century Gothic"/>
          <w:sz w:val="22"/>
          <w:szCs w:val="22"/>
        </w:rPr>
      </w:pPr>
      <w:r w:rsidRPr="004303A3">
        <w:rPr>
          <w:rFonts w:ascii="Century Gothic" w:hAnsi="Century Gothic"/>
          <w:sz w:val="22"/>
          <w:szCs w:val="22"/>
        </w:rPr>
        <w:t>2019-2020 High School Hearing Questions</w:t>
      </w:r>
    </w:p>
    <w:p w14:paraId="128561A9" w14:textId="2264BA04" w:rsidR="004303A3" w:rsidRDefault="004303A3">
      <w:pPr>
        <w:rPr>
          <w:rFonts w:ascii="Century Gothic" w:hAnsi="Century Gothic"/>
          <w:sz w:val="18"/>
          <w:szCs w:val="18"/>
        </w:rPr>
      </w:pPr>
      <w:r w:rsidRPr="004303A3">
        <w:rPr>
          <w:rFonts w:ascii="Century Gothic" w:hAnsi="Century Gothic"/>
          <w:sz w:val="18"/>
          <w:szCs w:val="18"/>
        </w:rPr>
        <w:t>Information, Tips, Analysis, &amp; Resources from the Oregon high school We the People community</w:t>
      </w:r>
    </w:p>
    <w:p w14:paraId="5A3D2B11" w14:textId="77AA11AD" w:rsidR="004303A3" w:rsidRDefault="004303A3">
      <w:pPr>
        <w:rPr>
          <w:rFonts w:ascii="Century Gothic" w:hAnsi="Century Gothic"/>
          <w:sz w:val="18"/>
          <w:szCs w:val="18"/>
        </w:rPr>
      </w:pPr>
    </w:p>
    <w:p w14:paraId="52750645" w14:textId="6E7E589C" w:rsidR="004303A3" w:rsidRPr="00BE3FB3" w:rsidRDefault="004303A3">
      <w:pPr>
        <w:rPr>
          <w:rFonts w:ascii="Garamond" w:hAnsi="Garamond"/>
          <w:sz w:val="22"/>
          <w:szCs w:val="22"/>
        </w:rPr>
      </w:pPr>
    </w:p>
    <w:p w14:paraId="4080BFAD" w14:textId="6E1588FE" w:rsidR="00BE3FB3" w:rsidRPr="00C56359" w:rsidRDefault="00BE3FB3" w:rsidP="00BE3FB3">
      <w:pPr>
        <w:pStyle w:val="UnitHeader"/>
        <w:ind w:left="1350" w:hanging="1350"/>
        <w:rPr>
          <w:rFonts w:ascii="Century Gothic" w:hAnsi="Century Gothic"/>
          <w:color w:val="000000" w:themeColor="text1"/>
          <w:sz w:val="22"/>
          <w:szCs w:val="22"/>
          <w:u w:val="single"/>
        </w:rPr>
      </w:pPr>
      <w:r w:rsidRPr="00C56359">
        <w:rPr>
          <w:rFonts w:ascii="Century Gothic" w:hAnsi="Century Gothic"/>
          <w:color w:val="000000" w:themeColor="text1"/>
          <w:sz w:val="22"/>
          <w:szCs w:val="22"/>
          <w:u w:val="single"/>
        </w:rPr>
        <w:t xml:space="preserve">Unit </w:t>
      </w:r>
      <w:r w:rsidR="0058402D">
        <w:rPr>
          <w:rFonts w:ascii="Century Gothic" w:hAnsi="Century Gothic"/>
          <w:color w:val="000000" w:themeColor="text1"/>
          <w:sz w:val="22"/>
          <w:szCs w:val="22"/>
          <w:u w:val="single"/>
        </w:rPr>
        <w:t>2</w:t>
      </w:r>
      <w:r w:rsidRPr="00C56359">
        <w:rPr>
          <w:rFonts w:ascii="Century Gothic" w:hAnsi="Century Gothic"/>
          <w:color w:val="000000" w:themeColor="text1"/>
          <w:sz w:val="22"/>
          <w:szCs w:val="22"/>
          <w:u w:val="single"/>
        </w:rPr>
        <w:t xml:space="preserve"> / Q. </w:t>
      </w:r>
      <w:r w:rsidR="004E0E3B">
        <w:rPr>
          <w:rFonts w:ascii="Century Gothic" w:hAnsi="Century Gothic"/>
          <w:color w:val="000000" w:themeColor="text1"/>
          <w:sz w:val="22"/>
          <w:szCs w:val="22"/>
          <w:u w:val="single"/>
        </w:rPr>
        <w:t>2</w:t>
      </w:r>
    </w:p>
    <w:p w14:paraId="26461947" w14:textId="77777777" w:rsidR="00BE3FB3" w:rsidRPr="00BE3FB3" w:rsidRDefault="00BE3FB3" w:rsidP="00BE3FB3">
      <w:pPr>
        <w:pStyle w:val="UnitHeader"/>
        <w:rPr>
          <w:rFonts w:ascii="Garamond" w:hAnsi="Garamond"/>
          <w:color w:val="000000" w:themeColor="text1"/>
          <w:sz w:val="22"/>
          <w:szCs w:val="22"/>
        </w:rPr>
      </w:pPr>
    </w:p>
    <w:p w14:paraId="2679CD13" w14:textId="77777777" w:rsidR="004E0E3B" w:rsidRPr="004E0E3B" w:rsidRDefault="004E0E3B" w:rsidP="004E0E3B">
      <w:pPr>
        <w:rPr>
          <w:rFonts w:ascii="Garamond" w:hAnsi="Garamond"/>
          <w:b/>
          <w:bCs/>
          <w:color w:val="000000" w:themeColor="text1"/>
          <w:sz w:val="21"/>
          <w:szCs w:val="21"/>
        </w:rPr>
      </w:pPr>
      <w:r w:rsidRPr="004E0E3B">
        <w:rPr>
          <w:rFonts w:ascii="Garamond" w:hAnsi="Garamond"/>
          <w:b/>
          <w:bCs/>
          <w:color w:val="000000" w:themeColor="text1"/>
          <w:sz w:val="21"/>
          <w:szCs w:val="21"/>
        </w:rPr>
        <w:t>One historian has suggested that the secrecy rule of the Philadelphia Convention allowed a “group of elite nationalists … some space to maneuver independent of public opinion</w:t>
      </w:r>
      <w:proofErr w:type="gramStart"/>
      <w:r w:rsidRPr="004E0E3B">
        <w:rPr>
          <w:rFonts w:ascii="Garamond" w:hAnsi="Garamond"/>
          <w:b/>
          <w:bCs/>
          <w:color w:val="000000" w:themeColor="text1"/>
          <w:sz w:val="21"/>
          <w:szCs w:val="21"/>
        </w:rPr>
        <w:t>.”*</w:t>
      </w:r>
      <w:proofErr w:type="gramEnd"/>
      <w:r w:rsidRPr="004E0E3B">
        <w:rPr>
          <w:rFonts w:ascii="Garamond" w:hAnsi="Garamond"/>
          <w:b/>
          <w:bCs/>
          <w:color w:val="000000" w:themeColor="text1"/>
          <w:sz w:val="21"/>
          <w:szCs w:val="21"/>
        </w:rPr>
        <w:t xml:space="preserve"> What were the reasons for the secrecy rule? In your opinion, were they legitimate?</w:t>
      </w:r>
    </w:p>
    <w:p w14:paraId="29BD2287" w14:textId="77777777" w:rsidR="004E0E3B" w:rsidRPr="004E0E3B" w:rsidRDefault="004E0E3B" w:rsidP="004E0E3B">
      <w:pPr>
        <w:pStyle w:val="ListParagraph"/>
        <w:spacing w:after="0" w:line="240" w:lineRule="auto"/>
        <w:rPr>
          <w:rFonts w:ascii="Garamond" w:hAnsi="Garamond"/>
          <w:b/>
          <w:bCs/>
          <w:color w:val="000000" w:themeColor="text1"/>
          <w:sz w:val="21"/>
          <w:szCs w:val="21"/>
        </w:rPr>
      </w:pPr>
    </w:p>
    <w:p w14:paraId="57E2599A" w14:textId="77777777" w:rsidR="004E0E3B" w:rsidRPr="004E0E3B" w:rsidRDefault="004E0E3B" w:rsidP="004E0E3B">
      <w:pPr>
        <w:pStyle w:val="ListParagraph"/>
        <w:numPr>
          <w:ilvl w:val="0"/>
          <w:numId w:val="7"/>
        </w:numPr>
        <w:spacing w:after="0" w:line="240" w:lineRule="auto"/>
        <w:rPr>
          <w:rFonts w:ascii="Garamond" w:hAnsi="Garamond"/>
          <w:color w:val="000000" w:themeColor="text1"/>
          <w:sz w:val="21"/>
          <w:szCs w:val="21"/>
        </w:rPr>
      </w:pPr>
      <w:r w:rsidRPr="004E0E3B">
        <w:rPr>
          <w:rFonts w:ascii="Garamond" w:hAnsi="Garamond"/>
          <w:color w:val="000000" w:themeColor="text1"/>
          <w:sz w:val="21"/>
          <w:szCs w:val="21"/>
        </w:rPr>
        <w:t>What other rules of the convention, if any, were as important as the secrecy rule?</w:t>
      </w:r>
    </w:p>
    <w:p w14:paraId="21944A81" w14:textId="77777777" w:rsidR="004E0E3B" w:rsidRPr="004E0E3B" w:rsidRDefault="004E0E3B" w:rsidP="004E0E3B">
      <w:pPr>
        <w:pStyle w:val="ListParagraph"/>
        <w:numPr>
          <w:ilvl w:val="0"/>
          <w:numId w:val="7"/>
        </w:numPr>
        <w:spacing w:after="0" w:line="240" w:lineRule="auto"/>
        <w:rPr>
          <w:rFonts w:ascii="Garamond" w:hAnsi="Garamond"/>
          <w:color w:val="000000" w:themeColor="text1"/>
          <w:sz w:val="21"/>
          <w:szCs w:val="21"/>
        </w:rPr>
      </w:pPr>
      <w:r w:rsidRPr="004E0E3B">
        <w:rPr>
          <w:rFonts w:ascii="Garamond" w:hAnsi="Garamond"/>
          <w:color w:val="000000" w:themeColor="text1"/>
          <w:sz w:val="21"/>
          <w:szCs w:val="21"/>
        </w:rPr>
        <w:t xml:space="preserve">In your opinion, are there any circumstances that warrant government proceedings to be shielded from public scrutiny? </w:t>
      </w:r>
    </w:p>
    <w:p w14:paraId="50FAFD5F" w14:textId="77777777" w:rsidR="004E0E3B" w:rsidRPr="004E0E3B" w:rsidRDefault="004E0E3B" w:rsidP="004E0E3B">
      <w:pPr>
        <w:ind w:left="1080"/>
        <w:outlineLvl w:val="0"/>
        <w:rPr>
          <w:rFonts w:ascii="Garamond" w:hAnsi="Garamond"/>
          <w:b/>
          <w:color w:val="000000" w:themeColor="text1"/>
          <w:sz w:val="21"/>
          <w:szCs w:val="21"/>
        </w:rPr>
      </w:pPr>
    </w:p>
    <w:p w14:paraId="47D6FC6E" w14:textId="77777777" w:rsidR="004E0E3B" w:rsidRPr="004E0E3B" w:rsidRDefault="004E0E3B" w:rsidP="004E0E3B">
      <w:pPr>
        <w:contextualSpacing/>
        <w:rPr>
          <w:rFonts w:ascii="Garamond" w:hAnsi="Garamond"/>
          <w:color w:val="000000" w:themeColor="text1"/>
          <w:sz w:val="21"/>
          <w:szCs w:val="21"/>
        </w:rPr>
      </w:pPr>
      <w:r w:rsidRPr="004E0E3B">
        <w:rPr>
          <w:rFonts w:ascii="Garamond" w:hAnsi="Garamond"/>
          <w:color w:val="000000" w:themeColor="text1"/>
          <w:sz w:val="21"/>
          <w:szCs w:val="21"/>
        </w:rPr>
        <w:t xml:space="preserve">* Michael J. Klarman, </w:t>
      </w:r>
      <w:r w:rsidRPr="004E0E3B">
        <w:rPr>
          <w:rFonts w:ascii="Garamond" w:hAnsi="Garamond"/>
          <w:i/>
          <w:color w:val="000000" w:themeColor="text1"/>
          <w:sz w:val="21"/>
          <w:szCs w:val="21"/>
        </w:rPr>
        <w:t>The Framers’ Coup</w:t>
      </w:r>
      <w:r w:rsidRPr="004E0E3B">
        <w:rPr>
          <w:rFonts w:ascii="Garamond" w:hAnsi="Garamond"/>
          <w:color w:val="000000" w:themeColor="text1"/>
          <w:sz w:val="21"/>
          <w:szCs w:val="21"/>
        </w:rPr>
        <w:t xml:space="preserve">: </w:t>
      </w:r>
      <w:r w:rsidRPr="004E0E3B">
        <w:rPr>
          <w:rFonts w:ascii="Garamond" w:hAnsi="Garamond"/>
          <w:i/>
          <w:color w:val="000000" w:themeColor="text1"/>
          <w:sz w:val="21"/>
          <w:szCs w:val="21"/>
        </w:rPr>
        <w:t>The Making of the United States Constitution</w:t>
      </w:r>
      <w:r w:rsidRPr="004E0E3B">
        <w:rPr>
          <w:rFonts w:ascii="Garamond" w:hAnsi="Garamond"/>
          <w:color w:val="000000" w:themeColor="text1"/>
          <w:sz w:val="21"/>
          <w:szCs w:val="21"/>
        </w:rPr>
        <w:t xml:space="preserve"> (New York: Oxford University Press, 2016), 253. </w:t>
      </w:r>
    </w:p>
    <w:p w14:paraId="4CB0675A" w14:textId="77777777" w:rsidR="004E0E3B" w:rsidRPr="001A3920" w:rsidRDefault="004E0E3B" w:rsidP="00BE3FB3">
      <w:pPr>
        <w:pBdr>
          <w:bottom w:val="single" w:sz="12" w:space="1" w:color="auto"/>
        </w:pBdr>
        <w:contextualSpacing/>
        <w:rPr>
          <w:rFonts w:ascii="Garamond" w:hAnsi="Garamond"/>
          <w:color w:val="000000" w:themeColor="text1"/>
          <w:sz w:val="21"/>
          <w:szCs w:val="21"/>
        </w:rPr>
      </w:pPr>
    </w:p>
    <w:p w14:paraId="6617163C" w14:textId="08A4E80F" w:rsidR="00BE3FB3" w:rsidRDefault="00BE3FB3" w:rsidP="00BE3FB3">
      <w:pPr>
        <w:contextualSpacing/>
        <w:rPr>
          <w:rFonts w:ascii="Times New Roman" w:hAnsi="Times New Roman"/>
          <w:color w:val="000000" w:themeColor="text1"/>
          <w:sz w:val="20"/>
          <w:szCs w:val="20"/>
        </w:rPr>
      </w:pPr>
    </w:p>
    <w:p w14:paraId="396735DE" w14:textId="16713CAC" w:rsidR="00FF09E8" w:rsidRPr="00C56359" w:rsidRDefault="00FF09E8" w:rsidP="00BE3FB3">
      <w:pPr>
        <w:contextualSpacing/>
        <w:rPr>
          <w:rFonts w:ascii="Century Gothic" w:hAnsi="Century Gothic"/>
          <w:b/>
          <w:bCs/>
          <w:color w:val="000000" w:themeColor="text1"/>
          <w:sz w:val="22"/>
          <w:szCs w:val="22"/>
          <w:u w:val="single"/>
        </w:rPr>
      </w:pPr>
      <w:r w:rsidRPr="00C56359">
        <w:rPr>
          <w:rFonts w:ascii="Century Gothic" w:hAnsi="Century Gothic"/>
          <w:b/>
          <w:bCs/>
          <w:color w:val="000000" w:themeColor="text1"/>
          <w:sz w:val="22"/>
          <w:szCs w:val="22"/>
          <w:u w:val="single"/>
        </w:rPr>
        <w:t>Collaboration Tips:</w:t>
      </w:r>
    </w:p>
    <w:p w14:paraId="7628DA8D" w14:textId="77777777" w:rsidR="00BE3FB3" w:rsidRPr="001A3920" w:rsidRDefault="00BE3FB3" w:rsidP="00BE3FB3">
      <w:pPr>
        <w:pStyle w:val="Body"/>
        <w:rPr>
          <w:rFonts w:ascii="Times New Roman" w:hAnsi="Times New Roman"/>
          <w:b/>
          <w:bCs/>
          <w:color w:val="000000" w:themeColor="text1"/>
          <w:sz w:val="18"/>
          <w:szCs w:val="18"/>
        </w:rPr>
      </w:pPr>
    </w:p>
    <w:p w14:paraId="5AE92FC1" w14:textId="3A737973" w:rsidR="0075635A" w:rsidRPr="001A3920" w:rsidRDefault="004E0E3B">
      <w:pPr>
        <w:rPr>
          <w:rFonts w:ascii="Century Gothic" w:hAnsi="Century Gothic"/>
          <w:sz w:val="18"/>
          <w:szCs w:val="18"/>
        </w:rPr>
      </w:pPr>
      <w:r>
        <w:rPr>
          <w:rFonts w:ascii="Century Gothic" w:hAnsi="Century Gothic"/>
          <w:b/>
          <w:bCs/>
          <w:sz w:val="18"/>
          <w:szCs w:val="18"/>
        </w:rPr>
        <w:t>4</w:t>
      </w:r>
      <w:r w:rsidR="0075635A" w:rsidRPr="001A3920">
        <w:rPr>
          <w:rFonts w:ascii="Century Gothic" w:hAnsi="Century Gothic"/>
          <w:b/>
          <w:bCs/>
          <w:sz w:val="18"/>
          <w:szCs w:val="18"/>
        </w:rPr>
        <w:t xml:space="preserve"> </w:t>
      </w:r>
      <w:r w:rsidR="0075635A" w:rsidRPr="001A3920">
        <w:rPr>
          <w:rFonts w:ascii="Century Gothic" w:hAnsi="Century Gothic"/>
          <w:sz w:val="18"/>
          <w:szCs w:val="18"/>
        </w:rPr>
        <w:t>different questions are in this overall question</w:t>
      </w:r>
      <w:r w:rsidR="000F5694" w:rsidRPr="001A3920">
        <w:rPr>
          <w:rFonts w:ascii="Century Gothic" w:hAnsi="Century Gothic"/>
          <w:sz w:val="18"/>
          <w:szCs w:val="18"/>
        </w:rPr>
        <w:t>.</w:t>
      </w:r>
    </w:p>
    <w:p w14:paraId="2C39C2E8" w14:textId="3EF6FC2C" w:rsidR="0075635A" w:rsidRPr="001A3920" w:rsidRDefault="0075635A">
      <w:pPr>
        <w:rPr>
          <w:rFonts w:ascii="Century Gothic" w:hAnsi="Century Gothic"/>
          <w:sz w:val="18"/>
          <w:szCs w:val="18"/>
        </w:rPr>
      </w:pPr>
    </w:p>
    <w:p w14:paraId="2434FF2D" w14:textId="5D6BBB30" w:rsidR="0075635A" w:rsidRPr="001A3920" w:rsidRDefault="0075635A">
      <w:pPr>
        <w:rPr>
          <w:rFonts w:ascii="Century Gothic" w:hAnsi="Century Gothic"/>
          <w:sz w:val="18"/>
          <w:szCs w:val="18"/>
        </w:rPr>
      </w:pPr>
      <w:r w:rsidRPr="001A3920">
        <w:rPr>
          <w:rFonts w:ascii="Century Gothic" w:hAnsi="Century Gothic"/>
          <w:sz w:val="18"/>
          <w:szCs w:val="18"/>
        </w:rPr>
        <w:t>Dates/Timespan/Era of this question:</w:t>
      </w:r>
      <w:r w:rsidR="00BE3FB3" w:rsidRPr="001A3920">
        <w:rPr>
          <w:rFonts w:ascii="Century Gothic" w:hAnsi="Century Gothic"/>
          <w:sz w:val="18"/>
          <w:szCs w:val="18"/>
        </w:rPr>
        <w:t xml:space="preserve"> </w:t>
      </w:r>
      <w:r w:rsidR="004E0E3B">
        <w:rPr>
          <w:rFonts w:ascii="Century Gothic" w:hAnsi="Century Gothic"/>
          <w:b/>
          <w:bCs/>
          <w:sz w:val="18"/>
          <w:szCs w:val="18"/>
        </w:rPr>
        <w:t>1787 - modern era</w:t>
      </w:r>
    </w:p>
    <w:p w14:paraId="112C126B" w14:textId="62CB3C28" w:rsidR="0075635A" w:rsidRPr="001A3920" w:rsidRDefault="0075635A">
      <w:pPr>
        <w:rPr>
          <w:rFonts w:ascii="Century Gothic" w:hAnsi="Century Gothic"/>
          <w:sz w:val="18"/>
          <w:szCs w:val="18"/>
        </w:rPr>
      </w:pPr>
    </w:p>
    <w:p w14:paraId="29CFA798" w14:textId="2B451C88" w:rsidR="0075635A" w:rsidRPr="001A3920" w:rsidRDefault="0075635A">
      <w:pPr>
        <w:rPr>
          <w:rFonts w:ascii="Century Gothic" w:hAnsi="Century Gothic"/>
          <w:sz w:val="18"/>
          <w:szCs w:val="18"/>
        </w:rPr>
      </w:pPr>
      <w:r w:rsidRPr="001A3920">
        <w:rPr>
          <w:rFonts w:ascii="Century Gothic" w:hAnsi="Century Gothic"/>
          <w:sz w:val="18"/>
          <w:szCs w:val="18"/>
        </w:rPr>
        <w:t>Historical events/context that connects to this question:</w:t>
      </w:r>
      <w:r w:rsidR="00BE3FB3" w:rsidRPr="001A3920">
        <w:rPr>
          <w:rFonts w:ascii="Century Gothic" w:hAnsi="Century Gothic"/>
          <w:sz w:val="18"/>
          <w:szCs w:val="18"/>
        </w:rPr>
        <w:t xml:space="preserve">  </w:t>
      </w:r>
    </w:p>
    <w:p w14:paraId="15645C9C" w14:textId="46417FEC" w:rsidR="00BE3FB3" w:rsidRPr="001A3920" w:rsidRDefault="00BE3FB3">
      <w:pPr>
        <w:rPr>
          <w:rFonts w:ascii="Century Gothic" w:hAnsi="Century Gothic"/>
          <w:sz w:val="18"/>
          <w:szCs w:val="18"/>
        </w:rPr>
      </w:pPr>
    </w:p>
    <w:p w14:paraId="6ED29075" w14:textId="77777777" w:rsidR="001A3920" w:rsidRPr="001A3920" w:rsidRDefault="001A3920" w:rsidP="00BE3FB3">
      <w:pPr>
        <w:pStyle w:val="ListParagraph"/>
        <w:numPr>
          <w:ilvl w:val="0"/>
          <w:numId w:val="3"/>
        </w:numPr>
        <w:rPr>
          <w:rFonts w:ascii="Century Gothic" w:hAnsi="Century Gothic"/>
          <w:b/>
          <w:bCs/>
          <w:sz w:val="18"/>
          <w:szCs w:val="18"/>
        </w:rPr>
        <w:sectPr w:rsidR="001A3920" w:rsidRPr="001A3920" w:rsidSect="004303A3">
          <w:pgSz w:w="12240" w:h="15840"/>
          <w:pgMar w:top="720" w:right="1440" w:bottom="720" w:left="1440" w:header="720" w:footer="720" w:gutter="0"/>
          <w:cols w:space="720"/>
          <w:docGrid w:linePitch="360"/>
        </w:sectPr>
      </w:pPr>
    </w:p>
    <w:p w14:paraId="0715C6BF" w14:textId="20A5657E" w:rsidR="001A3920" w:rsidRDefault="004E0E3B" w:rsidP="00BE3FB3">
      <w:pPr>
        <w:pStyle w:val="ListParagraph"/>
        <w:numPr>
          <w:ilvl w:val="0"/>
          <w:numId w:val="3"/>
        </w:numPr>
        <w:rPr>
          <w:rFonts w:ascii="Century Gothic" w:hAnsi="Century Gothic"/>
          <w:b/>
          <w:bCs/>
          <w:sz w:val="18"/>
          <w:szCs w:val="18"/>
        </w:rPr>
      </w:pPr>
      <w:r>
        <w:rPr>
          <w:rFonts w:ascii="Century Gothic" w:hAnsi="Century Gothic"/>
          <w:b/>
          <w:bCs/>
          <w:sz w:val="18"/>
          <w:szCs w:val="18"/>
        </w:rPr>
        <w:t>PATRIOT Act</w:t>
      </w:r>
    </w:p>
    <w:p w14:paraId="04334761" w14:textId="1DBF3C36" w:rsidR="004E0E3B" w:rsidRDefault="004E0E3B" w:rsidP="00BE3FB3">
      <w:pPr>
        <w:pStyle w:val="ListParagraph"/>
        <w:numPr>
          <w:ilvl w:val="0"/>
          <w:numId w:val="3"/>
        </w:numPr>
        <w:rPr>
          <w:rFonts w:ascii="Century Gothic" w:hAnsi="Century Gothic"/>
          <w:b/>
          <w:bCs/>
          <w:sz w:val="18"/>
          <w:szCs w:val="18"/>
        </w:rPr>
      </w:pPr>
      <w:r>
        <w:rPr>
          <w:rFonts w:ascii="Century Gothic" w:hAnsi="Century Gothic"/>
          <w:b/>
          <w:bCs/>
          <w:sz w:val="18"/>
          <w:szCs w:val="18"/>
        </w:rPr>
        <w:t>Shays Rebellion</w:t>
      </w:r>
    </w:p>
    <w:p w14:paraId="4C75AB53" w14:textId="04DA4C6A" w:rsidR="00136E2E" w:rsidRDefault="00136E2E" w:rsidP="00BE3FB3">
      <w:pPr>
        <w:pStyle w:val="ListParagraph"/>
        <w:numPr>
          <w:ilvl w:val="0"/>
          <w:numId w:val="3"/>
        </w:numPr>
        <w:rPr>
          <w:rFonts w:ascii="Century Gothic" w:hAnsi="Century Gothic"/>
          <w:b/>
          <w:bCs/>
          <w:sz w:val="18"/>
          <w:szCs w:val="18"/>
        </w:rPr>
      </w:pPr>
      <w:r>
        <w:rPr>
          <w:rFonts w:ascii="Century Gothic" w:hAnsi="Century Gothic"/>
          <w:b/>
          <w:bCs/>
          <w:sz w:val="18"/>
          <w:szCs w:val="18"/>
        </w:rPr>
        <w:t>Failed conventions</w:t>
      </w:r>
    </w:p>
    <w:p w14:paraId="45B23355" w14:textId="2B68414F" w:rsidR="00136E2E" w:rsidRDefault="00136E2E" w:rsidP="00BE3FB3">
      <w:pPr>
        <w:pStyle w:val="ListParagraph"/>
        <w:numPr>
          <w:ilvl w:val="0"/>
          <w:numId w:val="3"/>
        </w:numPr>
        <w:rPr>
          <w:rFonts w:ascii="Century Gothic" w:hAnsi="Century Gothic"/>
          <w:b/>
          <w:bCs/>
          <w:sz w:val="18"/>
          <w:szCs w:val="18"/>
        </w:rPr>
      </w:pPr>
      <w:r>
        <w:rPr>
          <w:rFonts w:ascii="Century Gothic" w:hAnsi="Century Gothic"/>
          <w:b/>
          <w:bCs/>
          <w:sz w:val="18"/>
          <w:szCs w:val="18"/>
        </w:rPr>
        <w:t>Watergate</w:t>
      </w:r>
    </w:p>
    <w:p w14:paraId="599E387B" w14:textId="0D9E6D09" w:rsidR="00136E2E" w:rsidRDefault="00136E2E" w:rsidP="00BE3FB3">
      <w:pPr>
        <w:pStyle w:val="ListParagraph"/>
        <w:numPr>
          <w:ilvl w:val="0"/>
          <w:numId w:val="3"/>
        </w:numPr>
        <w:rPr>
          <w:rFonts w:ascii="Century Gothic" w:hAnsi="Century Gothic"/>
          <w:b/>
          <w:bCs/>
          <w:sz w:val="18"/>
          <w:szCs w:val="18"/>
        </w:rPr>
      </w:pPr>
      <w:r>
        <w:rPr>
          <w:rFonts w:ascii="Century Gothic" w:hAnsi="Century Gothic"/>
          <w:b/>
          <w:bCs/>
          <w:sz w:val="18"/>
          <w:szCs w:val="18"/>
        </w:rPr>
        <w:t>Pre-Vietnam war efforts</w:t>
      </w:r>
    </w:p>
    <w:p w14:paraId="6C2C64A4" w14:textId="0FFE6049" w:rsidR="00136E2E" w:rsidRDefault="00136E2E" w:rsidP="00DE32B7">
      <w:pPr>
        <w:pStyle w:val="ListParagraph"/>
        <w:numPr>
          <w:ilvl w:val="0"/>
          <w:numId w:val="3"/>
        </w:numPr>
        <w:rPr>
          <w:rFonts w:ascii="Century Gothic" w:hAnsi="Century Gothic"/>
          <w:b/>
          <w:bCs/>
          <w:sz w:val="18"/>
          <w:szCs w:val="18"/>
        </w:rPr>
      </w:pPr>
      <w:r>
        <w:rPr>
          <w:rFonts w:ascii="Century Gothic" w:hAnsi="Century Gothic"/>
          <w:b/>
          <w:bCs/>
          <w:sz w:val="18"/>
          <w:szCs w:val="18"/>
        </w:rPr>
        <w:t>Defense missions</w:t>
      </w:r>
    </w:p>
    <w:p w14:paraId="2CC0832C" w14:textId="3736B7F7" w:rsidR="00DE32B7" w:rsidRPr="00DE32B7" w:rsidRDefault="00DE32B7" w:rsidP="00DE32B7">
      <w:pPr>
        <w:pStyle w:val="ListParagraph"/>
        <w:numPr>
          <w:ilvl w:val="0"/>
          <w:numId w:val="3"/>
        </w:numPr>
        <w:rPr>
          <w:rFonts w:ascii="Century Gothic" w:hAnsi="Century Gothic"/>
          <w:b/>
          <w:bCs/>
          <w:sz w:val="18"/>
          <w:szCs w:val="18"/>
        </w:rPr>
      </w:pPr>
      <w:r>
        <w:rPr>
          <w:rFonts w:ascii="Century Gothic" w:hAnsi="Century Gothic"/>
          <w:b/>
          <w:bCs/>
          <w:sz w:val="18"/>
          <w:szCs w:val="18"/>
        </w:rPr>
        <w:t>Budget shifts (executive power)</w:t>
      </w:r>
    </w:p>
    <w:p w14:paraId="63F5D63A" w14:textId="77777777" w:rsidR="001A3920" w:rsidRPr="00DE32B7" w:rsidRDefault="001A3920" w:rsidP="00DE32B7">
      <w:pPr>
        <w:pStyle w:val="ListParagraph"/>
        <w:numPr>
          <w:ilvl w:val="0"/>
          <w:numId w:val="3"/>
        </w:numPr>
        <w:rPr>
          <w:rFonts w:ascii="Century Gothic" w:hAnsi="Century Gothic"/>
          <w:b/>
          <w:bCs/>
          <w:sz w:val="18"/>
          <w:szCs w:val="18"/>
        </w:rPr>
        <w:sectPr w:rsidR="001A3920" w:rsidRPr="00DE32B7" w:rsidSect="001A3920">
          <w:type w:val="continuous"/>
          <w:pgSz w:w="12240" w:h="15840"/>
          <w:pgMar w:top="720" w:right="1440" w:bottom="720" w:left="1440" w:header="720" w:footer="720" w:gutter="0"/>
          <w:cols w:num="2" w:space="720"/>
          <w:docGrid w:linePitch="360"/>
        </w:sectPr>
      </w:pPr>
    </w:p>
    <w:p w14:paraId="3EFF7BBC" w14:textId="1EFCD14A" w:rsidR="00BE3FB3" w:rsidRPr="001A3920" w:rsidRDefault="00BE3FB3">
      <w:pPr>
        <w:rPr>
          <w:rFonts w:ascii="Century Gothic" w:hAnsi="Century Gothic"/>
          <w:sz w:val="18"/>
          <w:szCs w:val="18"/>
        </w:rPr>
      </w:pPr>
    </w:p>
    <w:p w14:paraId="50B23059" w14:textId="3493A91A" w:rsidR="0075635A" w:rsidRPr="001A3920" w:rsidRDefault="0075635A">
      <w:pPr>
        <w:rPr>
          <w:rFonts w:ascii="Century Gothic" w:hAnsi="Century Gothic"/>
          <w:b/>
          <w:bCs/>
          <w:sz w:val="18"/>
          <w:szCs w:val="18"/>
        </w:rPr>
      </w:pPr>
      <w:r w:rsidRPr="001A3920">
        <w:rPr>
          <w:rFonts w:ascii="Century Gothic" w:hAnsi="Century Gothic"/>
          <w:sz w:val="18"/>
          <w:szCs w:val="18"/>
        </w:rPr>
        <w:t>Sections of the US Constitution that apply:</w:t>
      </w:r>
      <w:r w:rsidR="00BE3FB3" w:rsidRPr="001A3920">
        <w:rPr>
          <w:rFonts w:ascii="Century Gothic" w:hAnsi="Century Gothic"/>
          <w:sz w:val="18"/>
          <w:szCs w:val="18"/>
        </w:rPr>
        <w:t xml:space="preserve">  </w:t>
      </w:r>
      <w:r w:rsidR="00DE32B7">
        <w:rPr>
          <w:rFonts w:ascii="Century Gothic" w:hAnsi="Century Gothic"/>
          <w:b/>
          <w:bCs/>
          <w:sz w:val="18"/>
          <w:szCs w:val="18"/>
        </w:rPr>
        <w:t>Sates issues, First Amendment</w:t>
      </w:r>
    </w:p>
    <w:p w14:paraId="4AAC5754" w14:textId="509F0642" w:rsidR="0075635A" w:rsidRPr="001A3920" w:rsidRDefault="0075635A">
      <w:pPr>
        <w:rPr>
          <w:rFonts w:ascii="Century Gothic" w:hAnsi="Century Gothic"/>
          <w:sz w:val="18"/>
          <w:szCs w:val="18"/>
        </w:rPr>
      </w:pPr>
    </w:p>
    <w:p w14:paraId="38B4FB38" w14:textId="19BE4B2F" w:rsidR="0075635A" w:rsidRPr="001A3920" w:rsidRDefault="001A3920">
      <w:pPr>
        <w:rPr>
          <w:rFonts w:ascii="Century Gothic" w:hAnsi="Century Gothic"/>
          <w:sz w:val="18"/>
          <w:szCs w:val="18"/>
        </w:rPr>
      </w:pPr>
      <w:r w:rsidRPr="001A3920">
        <w:rPr>
          <w:rFonts w:ascii="Century Gothic" w:hAnsi="Century Gothic"/>
          <w:sz w:val="18"/>
          <w:szCs w:val="18"/>
        </w:rPr>
        <w:t>Possible Current Events that apply:</w:t>
      </w:r>
    </w:p>
    <w:p w14:paraId="2EFDAD17" w14:textId="54E60D24" w:rsidR="00BE3FB3" w:rsidRPr="001A3920" w:rsidRDefault="00BE3FB3">
      <w:pPr>
        <w:rPr>
          <w:rFonts w:ascii="Century Gothic" w:hAnsi="Century Gothic"/>
          <w:sz w:val="18"/>
          <w:szCs w:val="18"/>
        </w:rPr>
      </w:pPr>
    </w:p>
    <w:p w14:paraId="0308BEBC" w14:textId="77777777" w:rsidR="00DE32B7" w:rsidRDefault="00DE32B7" w:rsidP="00BE3FB3">
      <w:pPr>
        <w:pStyle w:val="ListParagraph"/>
        <w:numPr>
          <w:ilvl w:val="0"/>
          <w:numId w:val="4"/>
        </w:numPr>
        <w:rPr>
          <w:rFonts w:ascii="Century Gothic" w:hAnsi="Century Gothic"/>
          <w:b/>
          <w:bCs/>
          <w:sz w:val="18"/>
          <w:szCs w:val="18"/>
        </w:rPr>
        <w:sectPr w:rsidR="00DE32B7" w:rsidSect="001A3920">
          <w:type w:val="continuous"/>
          <w:pgSz w:w="12240" w:h="15840"/>
          <w:pgMar w:top="720" w:right="1440" w:bottom="720" w:left="1440" w:header="720" w:footer="720" w:gutter="0"/>
          <w:cols w:space="720"/>
          <w:docGrid w:linePitch="360"/>
        </w:sectPr>
      </w:pPr>
    </w:p>
    <w:p w14:paraId="4012884D" w14:textId="264D6AD9" w:rsidR="001A3920" w:rsidRPr="00DE32B7" w:rsidRDefault="00DE32B7" w:rsidP="00BE3FB3">
      <w:pPr>
        <w:pStyle w:val="ListParagraph"/>
        <w:numPr>
          <w:ilvl w:val="0"/>
          <w:numId w:val="4"/>
        </w:numPr>
        <w:rPr>
          <w:rFonts w:ascii="Century Gothic" w:hAnsi="Century Gothic"/>
          <w:b/>
          <w:bCs/>
          <w:i/>
          <w:iCs/>
          <w:sz w:val="18"/>
          <w:szCs w:val="18"/>
        </w:rPr>
      </w:pPr>
      <w:r>
        <w:rPr>
          <w:rFonts w:ascii="Century Gothic" w:hAnsi="Century Gothic"/>
          <w:b/>
          <w:bCs/>
          <w:sz w:val="18"/>
          <w:szCs w:val="18"/>
        </w:rPr>
        <w:t>Russian intervention in elections</w:t>
      </w:r>
    </w:p>
    <w:p w14:paraId="780A2FE6" w14:textId="299FDB07" w:rsidR="00DE32B7" w:rsidRPr="00DE32B7" w:rsidRDefault="00DE32B7" w:rsidP="00BE3FB3">
      <w:pPr>
        <w:pStyle w:val="ListParagraph"/>
        <w:numPr>
          <w:ilvl w:val="0"/>
          <w:numId w:val="4"/>
        </w:numPr>
        <w:rPr>
          <w:rFonts w:ascii="Century Gothic" w:hAnsi="Century Gothic"/>
          <w:b/>
          <w:bCs/>
          <w:i/>
          <w:iCs/>
          <w:sz w:val="18"/>
          <w:szCs w:val="18"/>
        </w:rPr>
      </w:pPr>
      <w:r>
        <w:rPr>
          <w:rFonts w:ascii="Century Gothic" w:hAnsi="Century Gothic"/>
          <w:b/>
          <w:bCs/>
          <w:sz w:val="18"/>
          <w:szCs w:val="18"/>
        </w:rPr>
        <w:t>FISA Court</w:t>
      </w:r>
    </w:p>
    <w:p w14:paraId="74A271B5" w14:textId="556FF7BE" w:rsidR="00DE32B7" w:rsidRPr="00DE32B7" w:rsidRDefault="00DE32B7" w:rsidP="00BE3FB3">
      <w:pPr>
        <w:pStyle w:val="ListParagraph"/>
        <w:numPr>
          <w:ilvl w:val="0"/>
          <w:numId w:val="4"/>
        </w:numPr>
        <w:rPr>
          <w:rFonts w:ascii="Century Gothic" w:hAnsi="Century Gothic"/>
          <w:b/>
          <w:bCs/>
          <w:i/>
          <w:iCs/>
          <w:sz w:val="18"/>
          <w:szCs w:val="18"/>
        </w:rPr>
      </w:pPr>
      <w:r>
        <w:rPr>
          <w:rFonts w:ascii="Century Gothic" w:hAnsi="Century Gothic"/>
          <w:b/>
          <w:bCs/>
          <w:sz w:val="18"/>
          <w:szCs w:val="18"/>
        </w:rPr>
        <w:t>Military Court</w:t>
      </w:r>
    </w:p>
    <w:p w14:paraId="438010DC" w14:textId="00350048" w:rsidR="00DE32B7" w:rsidRPr="00DE32B7" w:rsidRDefault="00DE32B7" w:rsidP="00BE3FB3">
      <w:pPr>
        <w:pStyle w:val="ListParagraph"/>
        <w:numPr>
          <w:ilvl w:val="0"/>
          <w:numId w:val="4"/>
        </w:numPr>
        <w:rPr>
          <w:rFonts w:ascii="Century Gothic" w:hAnsi="Century Gothic"/>
          <w:b/>
          <w:bCs/>
          <w:i/>
          <w:iCs/>
          <w:sz w:val="18"/>
          <w:szCs w:val="18"/>
        </w:rPr>
      </w:pPr>
      <w:r>
        <w:rPr>
          <w:rFonts w:ascii="Century Gothic" w:hAnsi="Century Gothic"/>
          <w:b/>
          <w:bCs/>
          <w:sz w:val="18"/>
          <w:szCs w:val="18"/>
        </w:rPr>
        <w:t>Whistleblowers</w:t>
      </w:r>
    </w:p>
    <w:p w14:paraId="0C587B76" w14:textId="3587209D" w:rsidR="00DE32B7" w:rsidRPr="00DE32B7" w:rsidRDefault="00DE32B7" w:rsidP="00BE3FB3">
      <w:pPr>
        <w:pStyle w:val="ListParagraph"/>
        <w:numPr>
          <w:ilvl w:val="0"/>
          <w:numId w:val="4"/>
        </w:numPr>
        <w:rPr>
          <w:rFonts w:ascii="Century Gothic" w:hAnsi="Century Gothic"/>
          <w:b/>
          <w:bCs/>
          <w:i/>
          <w:iCs/>
          <w:sz w:val="18"/>
          <w:szCs w:val="18"/>
        </w:rPr>
      </w:pPr>
      <w:r>
        <w:rPr>
          <w:rFonts w:ascii="Century Gothic" w:hAnsi="Century Gothic"/>
          <w:b/>
          <w:bCs/>
          <w:sz w:val="18"/>
          <w:szCs w:val="18"/>
        </w:rPr>
        <w:t>Supreme Court deliberations</w:t>
      </w:r>
    </w:p>
    <w:p w14:paraId="1BFB03E0" w14:textId="0F837517" w:rsidR="00DE32B7" w:rsidRPr="00DE32B7" w:rsidRDefault="00DE32B7" w:rsidP="00BE3FB3">
      <w:pPr>
        <w:pStyle w:val="ListParagraph"/>
        <w:numPr>
          <w:ilvl w:val="0"/>
          <w:numId w:val="4"/>
        </w:numPr>
        <w:rPr>
          <w:rFonts w:ascii="Century Gothic" w:hAnsi="Century Gothic"/>
          <w:b/>
          <w:bCs/>
          <w:i/>
          <w:iCs/>
          <w:sz w:val="18"/>
          <w:szCs w:val="18"/>
        </w:rPr>
      </w:pPr>
      <w:r>
        <w:rPr>
          <w:rFonts w:ascii="Century Gothic" w:hAnsi="Century Gothic"/>
          <w:b/>
          <w:bCs/>
          <w:sz w:val="18"/>
          <w:szCs w:val="18"/>
        </w:rPr>
        <w:t>Campaign Contributions</w:t>
      </w:r>
    </w:p>
    <w:p w14:paraId="412FB1FF" w14:textId="461BD03F" w:rsidR="00DE32B7" w:rsidRPr="00DE32B7" w:rsidRDefault="00DE32B7" w:rsidP="00BE3FB3">
      <w:pPr>
        <w:pStyle w:val="ListParagraph"/>
        <w:numPr>
          <w:ilvl w:val="0"/>
          <w:numId w:val="4"/>
        </w:numPr>
        <w:rPr>
          <w:rFonts w:ascii="Century Gothic" w:hAnsi="Century Gothic"/>
          <w:b/>
          <w:bCs/>
          <w:i/>
          <w:iCs/>
          <w:sz w:val="18"/>
          <w:szCs w:val="18"/>
        </w:rPr>
      </w:pPr>
      <w:r>
        <w:rPr>
          <w:rFonts w:ascii="Century Gothic" w:hAnsi="Century Gothic"/>
          <w:b/>
          <w:bCs/>
          <w:sz w:val="18"/>
          <w:szCs w:val="18"/>
        </w:rPr>
        <w:t>Texas clear backpacks</w:t>
      </w:r>
    </w:p>
    <w:p w14:paraId="3410C8BE" w14:textId="422B7674" w:rsidR="00DE32B7" w:rsidRPr="00DE32B7" w:rsidRDefault="00DE32B7" w:rsidP="00BE3FB3">
      <w:pPr>
        <w:pStyle w:val="ListParagraph"/>
        <w:numPr>
          <w:ilvl w:val="0"/>
          <w:numId w:val="4"/>
        </w:numPr>
        <w:rPr>
          <w:rFonts w:ascii="Century Gothic" w:hAnsi="Century Gothic"/>
          <w:b/>
          <w:bCs/>
          <w:i/>
          <w:iCs/>
          <w:sz w:val="18"/>
          <w:szCs w:val="18"/>
        </w:rPr>
      </w:pPr>
      <w:r>
        <w:rPr>
          <w:rFonts w:ascii="Century Gothic" w:hAnsi="Century Gothic"/>
          <w:b/>
          <w:bCs/>
          <w:sz w:val="18"/>
          <w:szCs w:val="18"/>
        </w:rPr>
        <w:t>Public access</w:t>
      </w:r>
    </w:p>
    <w:p w14:paraId="186C08E6" w14:textId="5A5FBFC9" w:rsidR="00DE32B7" w:rsidRPr="001A3920" w:rsidRDefault="00DE32B7" w:rsidP="00BE3FB3">
      <w:pPr>
        <w:pStyle w:val="ListParagraph"/>
        <w:numPr>
          <w:ilvl w:val="0"/>
          <w:numId w:val="4"/>
        </w:numPr>
        <w:rPr>
          <w:rFonts w:ascii="Century Gothic" w:hAnsi="Century Gothic"/>
          <w:b/>
          <w:bCs/>
          <w:i/>
          <w:iCs/>
          <w:sz w:val="18"/>
          <w:szCs w:val="18"/>
        </w:rPr>
      </w:pPr>
      <w:r>
        <w:rPr>
          <w:rFonts w:ascii="Century Gothic" w:hAnsi="Century Gothic"/>
          <w:b/>
          <w:bCs/>
          <w:sz w:val="18"/>
          <w:szCs w:val="18"/>
        </w:rPr>
        <w:t>Redistricting processes</w:t>
      </w:r>
    </w:p>
    <w:p w14:paraId="1F668F74" w14:textId="77777777" w:rsidR="00DE32B7" w:rsidRDefault="00DE32B7" w:rsidP="001A3920">
      <w:pPr>
        <w:rPr>
          <w:rFonts w:ascii="Century Gothic" w:hAnsi="Century Gothic"/>
          <w:sz w:val="18"/>
          <w:szCs w:val="18"/>
        </w:rPr>
        <w:sectPr w:rsidR="00DE32B7" w:rsidSect="00DE32B7">
          <w:type w:val="continuous"/>
          <w:pgSz w:w="12240" w:h="15840"/>
          <w:pgMar w:top="720" w:right="1440" w:bottom="720" w:left="1440" w:header="720" w:footer="720" w:gutter="0"/>
          <w:cols w:num="2" w:space="720"/>
          <w:docGrid w:linePitch="360"/>
        </w:sectPr>
      </w:pPr>
    </w:p>
    <w:p w14:paraId="0AE5487F" w14:textId="0189D2BF" w:rsidR="001A3920" w:rsidRPr="001A3920" w:rsidRDefault="001A3920" w:rsidP="001A3920">
      <w:pPr>
        <w:rPr>
          <w:rFonts w:ascii="Century Gothic" w:hAnsi="Century Gothic"/>
          <w:sz w:val="18"/>
          <w:szCs w:val="18"/>
        </w:rPr>
      </w:pPr>
    </w:p>
    <w:p w14:paraId="7D118EDA" w14:textId="0098884F" w:rsidR="001A3920" w:rsidRDefault="001A3920" w:rsidP="001A3920">
      <w:pPr>
        <w:rPr>
          <w:rFonts w:ascii="Century Gothic" w:hAnsi="Century Gothic"/>
          <w:b/>
          <w:bCs/>
          <w:i/>
          <w:iCs/>
          <w:sz w:val="18"/>
          <w:szCs w:val="18"/>
        </w:rPr>
      </w:pPr>
      <w:r w:rsidRPr="001A3920">
        <w:rPr>
          <w:rFonts w:ascii="Century Gothic" w:hAnsi="Century Gothic"/>
          <w:sz w:val="18"/>
          <w:szCs w:val="18"/>
        </w:rPr>
        <w:t xml:space="preserve">Possible </w:t>
      </w:r>
      <w:r w:rsidRPr="001A3920">
        <w:rPr>
          <w:rFonts w:ascii="Century Gothic" w:hAnsi="Century Gothic"/>
          <w:sz w:val="18"/>
          <w:szCs w:val="18"/>
        </w:rPr>
        <w:t>Court cases</w:t>
      </w:r>
      <w:r w:rsidRPr="001A3920">
        <w:rPr>
          <w:rFonts w:ascii="Century Gothic" w:hAnsi="Century Gothic"/>
          <w:sz w:val="18"/>
          <w:szCs w:val="18"/>
        </w:rPr>
        <w:t xml:space="preserve"> that </w:t>
      </w:r>
      <w:proofErr w:type="gramStart"/>
      <w:r w:rsidRPr="001A3920">
        <w:rPr>
          <w:rFonts w:ascii="Century Gothic" w:hAnsi="Century Gothic"/>
          <w:sz w:val="18"/>
          <w:szCs w:val="18"/>
        </w:rPr>
        <w:t>apply:</w:t>
      </w:r>
      <w:proofErr w:type="gramEnd"/>
      <w:r w:rsidRPr="001A3920">
        <w:rPr>
          <w:rFonts w:ascii="Century Gothic" w:hAnsi="Century Gothic"/>
          <w:sz w:val="18"/>
          <w:szCs w:val="18"/>
        </w:rPr>
        <w:t xml:space="preserve">  </w:t>
      </w:r>
      <w:r w:rsidR="00DE32B7">
        <w:rPr>
          <w:rFonts w:ascii="Century Gothic" w:hAnsi="Century Gothic"/>
          <w:b/>
          <w:bCs/>
          <w:i/>
          <w:iCs/>
          <w:sz w:val="18"/>
          <w:szCs w:val="18"/>
        </w:rPr>
        <w:t>Nixon v. US</w:t>
      </w:r>
    </w:p>
    <w:p w14:paraId="76B1E5E2" w14:textId="398DED67" w:rsidR="00DE32B7" w:rsidRDefault="00DE32B7" w:rsidP="001A3920">
      <w:pPr>
        <w:rPr>
          <w:rFonts w:ascii="Century Gothic" w:hAnsi="Century Gothic"/>
          <w:b/>
          <w:bCs/>
          <w:i/>
          <w:iCs/>
          <w:sz w:val="18"/>
          <w:szCs w:val="18"/>
        </w:rPr>
      </w:pPr>
      <w:r>
        <w:rPr>
          <w:rFonts w:ascii="Century Gothic" w:hAnsi="Century Gothic"/>
          <w:b/>
          <w:bCs/>
          <w:i/>
          <w:iCs/>
          <w:sz w:val="18"/>
          <w:szCs w:val="18"/>
        </w:rPr>
        <w:t>US v. Nixon</w:t>
      </w:r>
    </w:p>
    <w:p w14:paraId="14D963FC" w14:textId="25BBBC10" w:rsidR="00DE32B7" w:rsidRDefault="00DE32B7" w:rsidP="001A3920">
      <w:pPr>
        <w:rPr>
          <w:rFonts w:ascii="Century Gothic" w:hAnsi="Century Gothic"/>
          <w:b/>
          <w:bCs/>
          <w:i/>
          <w:iCs/>
          <w:sz w:val="18"/>
          <w:szCs w:val="18"/>
        </w:rPr>
      </w:pPr>
      <w:r>
        <w:rPr>
          <w:rFonts w:ascii="Century Gothic" w:hAnsi="Century Gothic"/>
          <w:b/>
          <w:bCs/>
          <w:i/>
          <w:iCs/>
          <w:sz w:val="18"/>
          <w:szCs w:val="18"/>
        </w:rPr>
        <w:t>FISA Search and Seizure cases</w:t>
      </w:r>
    </w:p>
    <w:p w14:paraId="2E2A7420" w14:textId="0C0AA7C1" w:rsidR="00DE32B7" w:rsidRDefault="00DE32B7" w:rsidP="001A3920">
      <w:pPr>
        <w:rPr>
          <w:rFonts w:ascii="Century Gothic" w:hAnsi="Century Gothic"/>
          <w:b/>
          <w:bCs/>
          <w:i/>
          <w:iCs/>
          <w:sz w:val="18"/>
          <w:szCs w:val="18"/>
        </w:rPr>
      </w:pPr>
      <w:r>
        <w:rPr>
          <w:rFonts w:ascii="Century Gothic" w:hAnsi="Century Gothic"/>
          <w:b/>
          <w:bCs/>
          <w:i/>
          <w:iCs/>
          <w:sz w:val="18"/>
          <w:szCs w:val="18"/>
        </w:rPr>
        <w:t>National Security cases</w:t>
      </w:r>
    </w:p>
    <w:p w14:paraId="0FD25A67" w14:textId="2C76E137" w:rsidR="00DE32B7" w:rsidRPr="001A3920" w:rsidRDefault="00DE32B7" w:rsidP="001A3920">
      <w:pPr>
        <w:rPr>
          <w:rFonts w:ascii="Century Gothic" w:hAnsi="Century Gothic"/>
          <w:b/>
          <w:bCs/>
          <w:i/>
          <w:iCs/>
          <w:sz w:val="18"/>
          <w:szCs w:val="18"/>
        </w:rPr>
      </w:pPr>
      <w:r>
        <w:rPr>
          <w:rFonts w:ascii="Century Gothic" w:hAnsi="Century Gothic"/>
          <w:b/>
          <w:bCs/>
          <w:i/>
          <w:iCs/>
          <w:sz w:val="18"/>
          <w:szCs w:val="18"/>
        </w:rPr>
        <w:t>First Amendment cases</w:t>
      </w:r>
    </w:p>
    <w:p w14:paraId="72381F19" w14:textId="6E0DE895" w:rsidR="001A3920" w:rsidRPr="001A3920" w:rsidRDefault="001A3920" w:rsidP="001A3920">
      <w:pPr>
        <w:pBdr>
          <w:bottom w:val="single" w:sz="12" w:space="1" w:color="auto"/>
        </w:pBdr>
        <w:rPr>
          <w:rFonts w:ascii="Century Gothic" w:hAnsi="Century Gothic"/>
          <w:b/>
          <w:bCs/>
          <w:i/>
          <w:iCs/>
          <w:sz w:val="18"/>
          <w:szCs w:val="18"/>
        </w:rPr>
      </w:pPr>
    </w:p>
    <w:p w14:paraId="3CFDC4D8" w14:textId="2FA5C57F" w:rsidR="004303A3" w:rsidRDefault="004303A3">
      <w:pPr>
        <w:rPr>
          <w:rFonts w:ascii="Century Gothic" w:hAnsi="Century Gothic"/>
          <w:sz w:val="18"/>
          <w:szCs w:val="18"/>
        </w:rPr>
      </w:pPr>
    </w:p>
    <w:p w14:paraId="744CEE97" w14:textId="75F3C49A" w:rsidR="004303A3" w:rsidRPr="00C56359" w:rsidRDefault="00BE3FB3">
      <w:pPr>
        <w:rPr>
          <w:rFonts w:ascii="Century Gothic" w:hAnsi="Century Gothic"/>
          <w:b/>
          <w:bCs/>
          <w:sz w:val="22"/>
          <w:szCs w:val="22"/>
          <w:u w:val="single"/>
        </w:rPr>
      </w:pPr>
      <w:r w:rsidRPr="00C56359">
        <w:rPr>
          <w:rFonts w:ascii="Century Gothic" w:hAnsi="Century Gothic"/>
          <w:b/>
          <w:bCs/>
          <w:sz w:val="22"/>
          <w:szCs w:val="22"/>
          <w:u w:val="single"/>
        </w:rPr>
        <w:t xml:space="preserve">Comments from Justice Jack Landau: </w:t>
      </w:r>
    </w:p>
    <w:p w14:paraId="2E906C76" w14:textId="77777777" w:rsidR="00DE32B7" w:rsidRDefault="00DE32B7" w:rsidP="00DE32B7">
      <w:pPr>
        <w:outlineLvl w:val="0"/>
        <w:rPr>
          <w:rFonts w:ascii="Times New Roman" w:hAnsi="Times New Roman"/>
          <w:i/>
          <w:color w:val="000000" w:themeColor="text1"/>
        </w:rPr>
      </w:pPr>
    </w:p>
    <w:p w14:paraId="70850272" w14:textId="759DC8D3" w:rsidR="00DE32B7" w:rsidRPr="00DE32B7" w:rsidRDefault="00DE32B7" w:rsidP="00DE32B7">
      <w:pPr>
        <w:outlineLvl w:val="0"/>
        <w:rPr>
          <w:rFonts w:ascii="Garamond" w:hAnsi="Garamond"/>
          <w:i/>
          <w:color w:val="000000" w:themeColor="text1"/>
          <w:sz w:val="22"/>
          <w:szCs w:val="22"/>
        </w:rPr>
      </w:pPr>
      <w:r w:rsidRPr="00DE32B7">
        <w:rPr>
          <w:rFonts w:ascii="Garamond" w:hAnsi="Garamond"/>
          <w:i/>
          <w:color w:val="000000" w:themeColor="text1"/>
          <w:sz w:val="22"/>
          <w:szCs w:val="22"/>
        </w:rPr>
        <w:t>To understand the quote necessitates understanding Klarman’s essential thesis about the Convention.  Klarman suggests that the principal problems with the Confederation had to do with an excess of democracy.  State governments were too responsive to the immediate whims of the people.  Office holders were subject to election every year.  There was direct election of legislators.  And, as a result, the states te</w:t>
      </w:r>
      <w:bookmarkStart w:id="0" w:name="_GoBack"/>
      <w:bookmarkEnd w:id="0"/>
      <w:r w:rsidRPr="00DE32B7">
        <w:rPr>
          <w:rFonts w:ascii="Garamond" w:hAnsi="Garamond"/>
          <w:i/>
          <w:color w:val="000000" w:themeColor="text1"/>
          <w:sz w:val="22"/>
          <w:szCs w:val="22"/>
        </w:rPr>
        <w:t xml:space="preserve">nded to respond to the passions of the moment.  Of particular concern (at least to political elites and the merchant class -- who were most of the delegates to the Convention), were the actions of state legislatures to authorize the payment of taxes and debts with paper money and the suspension of various tax obligations.  They wanted to avoid anything like </w:t>
      </w:r>
      <w:proofErr w:type="spellStart"/>
      <w:r w:rsidRPr="00DE32B7">
        <w:rPr>
          <w:rFonts w:ascii="Garamond" w:hAnsi="Garamond"/>
          <w:i/>
          <w:color w:val="000000" w:themeColor="text1"/>
          <w:sz w:val="22"/>
          <w:szCs w:val="22"/>
        </w:rPr>
        <w:t>Shays’s</w:t>
      </w:r>
      <w:proofErr w:type="spellEnd"/>
      <w:r w:rsidRPr="00DE32B7">
        <w:rPr>
          <w:rFonts w:ascii="Garamond" w:hAnsi="Garamond"/>
          <w:i/>
          <w:color w:val="000000" w:themeColor="text1"/>
          <w:sz w:val="22"/>
          <w:szCs w:val="22"/>
        </w:rPr>
        <w:t xml:space="preserve"> rebellion.  Klarman holds that the political elites at the Convention wanted to adopt a form of government that curbed excessive democracy by eliminating direct elections for every office but the House and by adopting checks and balances (the veto anyone?) </w:t>
      </w:r>
      <w:r w:rsidRPr="00DE32B7">
        <w:rPr>
          <w:rFonts w:ascii="Garamond" w:hAnsi="Garamond"/>
          <w:i/>
          <w:color w:val="000000" w:themeColor="text1"/>
          <w:sz w:val="22"/>
          <w:szCs w:val="22"/>
        </w:rPr>
        <w:lastRenderedPageBreak/>
        <w:t xml:space="preserve">that would limit the ability of the legislatures to be too hasty in responding to the passions of the public moment.  Klarman suggests that, without the secrecy rule, the framers probably wouldn’t have been able to pull of their coup, because public outcry would have made it impossible.  He’s probably right.  </w:t>
      </w:r>
    </w:p>
    <w:p w14:paraId="412E3E50" w14:textId="77777777" w:rsidR="00DE32B7" w:rsidRPr="00DE32B7" w:rsidRDefault="00DE32B7" w:rsidP="00DE32B7">
      <w:pPr>
        <w:outlineLvl w:val="0"/>
        <w:rPr>
          <w:rFonts w:ascii="Garamond" w:hAnsi="Garamond"/>
          <w:i/>
          <w:color w:val="000000" w:themeColor="text1"/>
          <w:sz w:val="22"/>
          <w:szCs w:val="22"/>
        </w:rPr>
      </w:pPr>
    </w:p>
    <w:p w14:paraId="39BBC713" w14:textId="77777777" w:rsidR="00DE32B7" w:rsidRPr="00DE32B7" w:rsidRDefault="00DE32B7" w:rsidP="00DE32B7">
      <w:pPr>
        <w:outlineLvl w:val="0"/>
        <w:rPr>
          <w:rFonts w:ascii="Garamond" w:hAnsi="Garamond"/>
          <w:i/>
          <w:color w:val="000000" w:themeColor="text1"/>
          <w:sz w:val="22"/>
          <w:szCs w:val="22"/>
        </w:rPr>
      </w:pPr>
      <w:r w:rsidRPr="00DE32B7">
        <w:rPr>
          <w:rFonts w:ascii="Garamond" w:hAnsi="Garamond"/>
          <w:i/>
          <w:color w:val="000000" w:themeColor="text1"/>
          <w:sz w:val="22"/>
          <w:szCs w:val="22"/>
        </w:rPr>
        <w:t>Should government proceedings be shielded from public scrutiny?  Great question.  Note that some states -- like Oregon -- require government "in the sunshine."  There are no secret legislative proceedings (though there are, controversially, some internal executive department deliberations that remain free from public disclosure).  And for timely events concerning public scrutiny about government actions, see the recent brouhaha over the resignation of Governor Brown's public records advocate.</w:t>
      </w:r>
    </w:p>
    <w:p w14:paraId="23CA4275" w14:textId="5E07AC7E" w:rsidR="00BE3FB3" w:rsidRDefault="00BE3FB3">
      <w:pPr>
        <w:rPr>
          <w:rFonts w:ascii="Garamond" w:hAnsi="Garamond"/>
          <w:sz w:val="22"/>
          <w:szCs w:val="22"/>
        </w:rPr>
      </w:pPr>
    </w:p>
    <w:sectPr w:rsidR="00BE3FB3" w:rsidSect="001A3920">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B6DA7"/>
    <w:multiLevelType w:val="hybridMultilevel"/>
    <w:tmpl w:val="BB44A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B60F98"/>
    <w:multiLevelType w:val="hybridMultilevel"/>
    <w:tmpl w:val="C86C5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2166B"/>
    <w:multiLevelType w:val="hybridMultilevel"/>
    <w:tmpl w:val="252C8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5814FB"/>
    <w:multiLevelType w:val="multilevel"/>
    <w:tmpl w:val="649417F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15:restartNumberingAfterBreak="0">
    <w:nsid w:val="2F022AD1"/>
    <w:multiLevelType w:val="hybridMultilevel"/>
    <w:tmpl w:val="A6DA9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1722C"/>
    <w:multiLevelType w:val="hybridMultilevel"/>
    <w:tmpl w:val="E888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5AC0D70"/>
    <w:multiLevelType w:val="hybridMultilevel"/>
    <w:tmpl w:val="BD782EB6"/>
    <w:lvl w:ilvl="0" w:tplc="4B78928A">
      <w:start w:val="1"/>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4"/>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A3"/>
    <w:rsid w:val="000F5694"/>
    <w:rsid w:val="00136E2E"/>
    <w:rsid w:val="001A3920"/>
    <w:rsid w:val="004303A3"/>
    <w:rsid w:val="004E0E3B"/>
    <w:rsid w:val="0058402D"/>
    <w:rsid w:val="0069014D"/>
    <w:rsid w:val="0075635A"/>
    <w:rsid w:val="00AA24DF"/>
    <w:rsid w:val="00BE3FB3"/>
    <w:rsid w:val="00C56359"/>
    <w:rsid w:val="00DE32B7"/>
    <w:rsid w:val="00FF0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D5A3"/>
  <w15:chartTrackingRefBased/>
  <w15:docId w15:val="{E8FF1994-E66E-FC4A-B63A-2F2BA0CE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FB3"/>
    <w:pPr>
      <w:spacing w:after="200" w:line="276" w:lineRule="auto"/>
      <w:ind w:left="720"/>
      <w:contextualSpacing/>
    </w:pPr>
    <w:rPr>
      <w:rFonts w:ascii="Calibri" w:eastAsia="Times New Roman" w:hAnsi="Calibri" w:cs="Times New Roman"/>
      <w:sz w:val="22"/>
      <w:szCs w:val="22"/>
    </w:rPr>
  </w:style>
  <w:style w:type="paragraph" w:customStyle="1" w:styleId="UnitHeader">
    <w:name w:val="Unit Header"/>
    <w:basedOn w:val="Normal"/>
    <w:qFormat/>
    <w:rsid w:val="00BE3FB3"/>
    <w:rPr>
      <w:rFonts w:ascii="Times New Roman" w:eastAsia="Times New Roman" w:hAnsi="Times New Roman" w:cs="Times New Roman"/>
      <w:b/>
      <w:sz w:val="26"/>
      <w:szCs w:val="28"/>
    </w:rPr>
  </w:style>
  <w:style w:type="paragraph" w:customStyle="1" w:styleId="Body">
    <w:name w:val="Body"/>
    <w:rsid w:val="00BE3FB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Cari Zall</cp:lastModifiedBy>
  <cp:revision>3</cp:revision>
  <dcterms:created xsi:type="dcterms:W3CDTF">2019-10-14T01:50:00Z</dcterms:created>
  <dcterms:modified xsi:type="dcterms:W3CDTF">2019-10-14T01:55:00Z</dcterms:modified>
</cp:coreProperties>
</file>