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A504" w14:textId="163B92F9" w:rsidR="0079469C" w:rsidRDefault="006A5DF3" w:rsidP="0079469C">
      <w:pPr>
        <w:ind w:right="36"/>
        <w:jc w:val="center"/>
        <w:rPr>
          <w:rFonts w:ascii="Bodoni 72 Oldstyle Book" w:hAnsi="Bodoni 72 Oldstyle Book"/>
          <w:b/>
          <w:smallCaps/>
          <w:color w:val="538135" w:themeColor="accent6" w:themeShade="BF"/>
          <w:sz w:val="40"/>
          <w:szCs w:val="40"/>
        </w:rPr>
      </w:pPr>
      <w:r w:rsidRPr="004F6E3F">
        <w:rPr>
          <w:noProof/>
          <w:color w:val="538135" w:themeColor="accent6" w:themeShade="BF"/>
          <w:sz w:val="44"/>
          <w:szCs w:val="44"/>
        </w:rPr>
        <w:drawing>
          <wp:anchor distT="0" distB="0" distL="114300" distR="114300" simplePos="0" relativeHeight="251660288" behindDoc="1" locked="0" layoutInCell="1" allowOverlap="1" wp14:anchorId="013D199C" wp14:editId="65448E0F">
            <wp:simplePos x="0" y="0"/>
            <wp:positionH relativeFrom="column">
              <wp:posOffset>5718865</wp:posOffset>
            </wp:positionH>
            <wp:positionV relativeFrom="paragraph">
              <wp:posOffset>0</wp:posOffset>
            </wp:positionV>
            <wp:extent cx="489585" cy="774700"/>
            <wp:effectExtent l="0" t="0" r="5715" b="0"/>
            <wp:wrapTight wrapText="bothSides">
              <wp:wrapPolygon edited="0">
                <wp:start x="0" y="0"/>
                <wp:lineTo x="0" y="21246"/>
                <wp:lineTo x="21292" y="21246"/>
                <wp:lineTo x="212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 cy="774700"/>
                    </a:xfrm>
                    <a:prstGeom prst="rect">
                      <a:avLst/>
                    </a:prstGeom>
                  </pic:spPr>
                </pic:pic>
              </a:graphicData>
            </a:graphic>
            <wp14:sizeRelH relativeFrom="page">
              <wp14:pctWidth>0</wp14:pctWidth>
            </wp14:sizeRelH>
            <wp14:sizeRelV relativeFrom="page">
              <wp14:pctHeight>0</wp14:pctHeight>
            </wp14:sizeRelV>
          </wp:anchor>
        </w:drawing>
      </w:r>
      <w:r w:rsidR="0079469C" w:rsidRPr="004F6E3F">
        <w:rPr>
          <w:noProof/>
          <w:color w:val="538135" w:themeColor="accent6" w:themeShade="BF"/>
          <w:sz w:val="44"/>
          <w:szCs w:val="44"/>
        </w:rPr>
        <w:drawing>
          <wp:anchor distT="0" distB="0" distL="114300" distR="114300" simplePos="0" relativeHeight="251659264" behindDoc="1" locked="0" layoutInCell="1" allowOverlap="1" wp14:anchorId="025DA468" wp14:editId="21830F5B">
            <wp:simplePos x="0" y="0"/>
            <wp:positionH relativeFrom="column">
              <wp:posOffset>-377163</wp:posOffset>
            </wp:positionH>
            <wp:positionV relativeFrom="paragraph">
              <wp:posOffset>0</wp:posOffset>
            </wp:positionV>
            <wp:extent cx="695325" cy="695325"/>
            <wp:effectExtent l="0" t="0" r="3175" b="3175"/>
            <wp:wrapTight wrapText="bothSides">
              <wp:wrapPolygon edited="0">
                <wp:start x="7496" y="0"/>
                <wp:lineTo x="3945" y="1578"/>
                <wp:lineTo x="0" y="5129"/>
                <wp:lineTo x="0" y="14597"/>
                <wp:lineTo x="3156" y="18937"/>
                <wp:lineTo x="7101" y="21304"/>
                <wp:lineTo x="7890" y="21304"/>
                <wp:lineTo x="13414" y="21304"/>
                <wp:lineTo x="14203" y="21304"/>
                <wp:lineTo x="18542" y="18937"/>
                <wp:lineTo x="21304" y="14597"/>
                <wp:lineTo x="21304" y="5129"/>
                <wp:lineTo x="16175" y="789"/>
                <wp:lineTo x="13808" y="0"/>
                <wp:lineTo x="74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79469C" w:rsidRPr="004F6E3F">
        <w:rPr>
          <w:rFonts w:ascii="Bodoni 72 Oldstyle Book" w:hAnsi="Bodoni 72 Oldstyle Book"/>
          <w:b/>
          <w:smallCaps/>
          <w:color w:val="538135" w:themeColor="accent6" w:themeShade="BF"/>
          <w:sz w:val="40"/>
          <w:szCs w:val="40"/>
        </w:rPr>
        <w:t>Judicial Review &amp; the Oregon Supreme Court</w:t>
      </w:r>
    </w:p>
    <w:p w14:paraId="3D075CBA" w14:textId="77777777" w:rsidR="0079469C" w:rsidRDefault="0079469C" w:rsidP="0079469C">
      <w:pPr>
        <w:ind w:right="36"/>
        <w:jc w:val="center"/>
        <w:rPr>
          <w:rFonts w:ascii="Bodoni 72 Oldstyle Book" w:hAnsi="Bodoni 72 Oldstyle Book"/>
          <w:b/>
          <w:smallCaps/>
          <w:color w:val="538135" w:themeColor="accent6" w:themeShade="BF"/>
          <w:sz w:val="40"/>
          <w:szCs w:val="40"/>
        </w:rPr>
      </w:pPr>
    </w:p>
    <w:p w14:paraId="5E7D0FFA" w14:textId="5C8015A8" w:rsidR="0079469C" w:rsidRDefault="006A5DF3" w:rsidP="0079469C">
      <w:pPr>
        <w:ind w:left="1440" w:right="1296"/>
        <w:jc w:val="center"/>
        <w:rPr>
          <w:rFonts w:ascii="Bodoni 72 Oldstyle Book" w:hAnsi="Bodoni 72 Oldstyle Book"/>
          <w:b/>
          <w:color w:val="385623" w:themeColor="accent6" w:themeShade="80"/>
          <w:sz w:val="40"/>
          <w:szCs w:val="40"/>
        </w:rPr>
      </w:pPr>
      <w:r w:rsidRPr="006A5DF3">
        <w:rPr>
          <w:rFonts w:ascii="Bodoni 72 Oldstyle Book" w:hAnsi="Bodoni 72 Oldstyle Book"/>
          <w:b/>
          <w:color w:val="385623" w:themeColor="accent6" w:themeShade="80"/>
          <w:sz w:val="40"/>
          <w:szCs w:val="40"/>
        </w:rPr>
        <w:t>How do we Prepare for Supreme Court Oral Arguments</w:t>
      </w:r>
      <w:r w:rsidR="0079469C" w:rsidRPr="006A5DF3">
        <w:rPr>
          <w:rFonts w:ascii="Bodoni 72 Oldstyle Book" w:hAnsi="Bodoni 72 Oldstyle Book"/>
          <w:b/>
          <w:color w:val="385623" w:themeColor="accent6" w:themeShade="80"/>
          <w:sz w:val="40"/>
          <w:szCs w:val="40"/>
        </w:rPr>
        <w:t>?</w:t>
      </w:r>
    </w:p>
    <w:p w14:paraId="38CBC3AB" w14:textId="7C1E57B3" w:rsidR="00DC69D5" w:rsidRDefault="00DC69D5" w:rsidP="0079469C">
      <w:pPr>
        <w:ind w:left="1440" w:right="1296"/>
        <w:jc w:val="center"/>
        <w:rPr>
          <w:rFonts w:ascii="Bodoni 72 Oldstyle Book" w:hAnsi="Bodoni 72 Oldstyle Book"/>
          <w:b/>
          <w:color w:val="385623" w:themeColor="accent6" w:themeShade="80"/>
          <w:sz w:val="40"/>
          <w:szCs w:val="40"/>
        </w:rPr>
      </w:pPr>
    </w:p>
    <w:p w14:paraId="33177367" w14:textId="27EB86BE" w:rsidR="00DC69D5" w:rsidRPr="00DC69D5" w:rsidRDefault="00DC69D5" w:rsidP="0079469C">
      <w:pPr>
        <w:ind w:left="1440" w:right="1296"/>
        <w:jc w:val="center"/>
        <w:rPr>
          <w:rFonts w:ascii="Bodoni 72 Oldstyle Book" w:hAnsi="Bodoni 72 Oldstyle Book"/>
          <w:b/>
          <w:color w:val="538135" w:themeColor="accent6" w:themeShade="BF"/>
          <w:sz w:val="40"/>
          <w:szCs w:val="40"/>
        </w:rPr>
      </w:pPr>
      <w:r w:rsidRPr="00DC69D5">
        <w:rPr>
          <w:rFonts w:ascii="Bodoni 72 Oldstyle Book" w:hAnsi="Bodoni 72 Oldstyle Book"/>
          <w:b/>
          <w:color w:val="538135" w:themeColor="accent6" w:themeShade="BF"/>
          <w:sz w:val="40"/>
          <w:szCs w:val="40"/>
        </w:rPr>
        <w:t>Part 3</w:t>
      </w:r>
    </w:p>
    <w:p w14:paraId="7EDAE3CD" w14:textId="77777777" w:rsidR="0079469C" w:rsidRDefault="0079469C" w:rsidP="0079469C"/>
    <w:p w14:paraId="2E622496" w14:textId="77777777" w:rsidR="0079469C" w:rsidRDefault="0079469C" w:rsidP="0079469C"/>
    <w:p w14:paraId="062264BD" w14:textId="77777777" w:rsidR="0079469C" w:rsidRPr="00D53097" w:rsidRDefault="0079469C" w:rsidP="0079469C">
      <w:pPr>
        <w:rPr>
          <w:rFonts w:ascii="Century Gothic" w:hAnsi="Century Gothic"/>
        </w:rPr>
      </w:pPr>
    </w:p>
    <w:p w14:paraId="707F5CC1" w14:textId="77777777" w:rsidR="0079469C" w:rsidRPr="006A5DF3" w:rsidRDefault="0079469C" w:rsidP="0079469C">
      <w:pPr>
        <w:rPr>
          <w:rFonts w:ascii="Century Gothic" w:hAnsi="Century Gothic"/>
          <w:b/>
          <w:color w:val="538135" w:themeColor="accent6" w:themeShade="BF"/>
          <w:sz w:val="28"/>
          <w:szCs w:val="28"/>
        </w:rPr>
      </w:pPr>
      <w:r w:rsidRPr="006A5DF3">
        <w:rPr>
          <w:rFonts w:ascii="Century Gothic" w:hAnsi="Century Gothic"/>
          <w:b/>
          <w:color w:val="538135" w:themeColor="accent6" w:themeShade="BF"/>
          <w:sz w:val="28"/>
          <w:szCs w:val="28"/>
        </w:rPr>
        <w:t>In this section:</w:t>
      </w:r>
    </w:p>
    <w:p w14:paraId="61165DDC" w14:textId="77777777" w:rsidR="0079469C" w:rsidRPr="00D53097" w:rsidRDefault="0079469C" w:rsidP="0079469C">
      <w:pPr>
        <w:rPr>
          <w:rFonts w:ascii="Century Gothic" w:hAnsi="Century Gothic"/>
        </w:rPr>
      </w:pPr>
    </w:p>
    <w:p w14:paraId="4ECDB0AE" w14:textId="20831B38" w:rsidR="006A5DF3" w:rsidRPr="006A5DF3" w:rsidRDefault="006A5DF3" w:rsidP="006A5DF3">
      <w:pPr>
        <w:pStyle w:val="ListParagraph"/>
        <w:numPr>
          <w:ilvl w:val="1"/>
          <w:numId w:val="3"/>
        </w:numPr>
        <w:tabs>
          <w:tab w:val="right" w:leader="dot" w:pos="9180"/>
        </w:tabs>
        <w:ind w:left="1350" w:hanging="450"/>
        <w:rPr>
          <w:rFonts w:ascii="Century Gothic" w:hAnsi="Century Gothic"/>
        </w:rPr>
      </w:pPr>
      <w:r w:rsidRPr="006A5DF3">
        <w:rPr>
          <w:rFonts w:ascii="Century Gothic" w:hAnsi="Century Gothic"/>
        </w:rPr>
        <w:t>How a Supreme Court Hearing / Oral Argument work</w:t>
      </w:r>
      <w:r w:rsidR="00063A8D">
        <w:rPr>
          <w:rFonts w:ascii="Century Gothic" w:hAnsi="Century Gothic"/>
        </w:rPr>
        <w:t>s</w:t>
      </w:r>
    </w:p>
    <w:p w14:paraId="61821646" w14:textId="77777777" w:rsidR="00063A8D" w:rsidRDefault="00063A8D" w:rsidP="006A5DF3">
      <w:pPr>
        <w:pStyle w:val="ListParagraph"/>
        <w:numPr>
          <w:ilvl w:val="1"/>
          <w:numId w:val="3"/>
        </w:numPr>
        <w:tabs>
          <w:tab w:val="right" w:leader="dot" w:pos="9180"/>
        </w:tabs>
        <w:ind w:left="1350" w:hanging="450"/>
        <w:rPr>
          <w:rFonts w:ascii="Century Gothic" w:hAnsi="Century Gothic"/>
        </w:rPr>
      </w:pPr>
      <w:r>
        <w:rPr>
          <w:rFonts w:ascii="Century Gothic" w:hAnsi="Century Gothic"/>
        </w:rPr>
        <w:t>Persuasive Speaking / Rhetoric</w:t>
      </w:r>
    </w:p>
    <w:p w14:paraId="4CEC4992" w14:textId="19B695FF" w:rsidR="006A5DF3" w:rsidRPr="006A5DF3" w:rsidRDefault="006A5DF3" w:rsidP="006A5DF3">
      <w:pPr>
        <w:pStyle w:val="ListParagraph"/>
        <w:numPr>
          <w:ilvl w:val="1"/>
          <w:numId w:val="3"/>
        </w:numPr>
        <w:tabs>
          <w:tab w:val="right" w:leader="dot" w:pos="9180"/>
        </w:tabs>
        <w:ind w:left="1350" w:hanging="450"/>
        <w:rPr>
          <w:rFonts w:ascii="Century Gothic" w:hAnsi="Century Gothic"/>
        </w:rPr>
      </w:pPr>
      <w:r w:rsidRPr="006A5DF3">
        <w:rPr>
          <w:rFonts w:ascii="Century Gothic" w:hAnsi="Century Gothic"/>
        </w:rPr>
        <w:t>Student</w:t>
      </w:r>
      <w:r w:rsidR="00063A8D">
        <w:rPr>
          <w:rFonts w:ascii="Century Gothic" w:hAnsi="Century Gothic"/>
        </w:rPr>
        <w:t>-</w:t>
      </w:r>
      <w:r w:rsidRPr="006A5DF3">
        <w:rPr>
          <w:rFonts w:ascii="Century Gothic" w:hAnsi="Century Gothic"/>
        </w:rPr>
        <w:t xml:space="preserve">friendly summaries of both </w:t>
      </w:r>
      <w:r w:rsidR="00063A8D">
        <w:rPr>
          <w:rFonts w:ascii="Century Gothic" w:hAnsi="Century Gothic"/>
        </w:rPr>
        <w:t>cases</w:t>
      </w:r>
      <w:r w:rsidR="00CF62B4">
        <w:rPr>
          <w:rFonts w:ascii="Century Gothic" w:hAnsi="Century Gothic"/>
        </w:rPr>
        <w:t xml:space="preserve"> the Court will hear</w:t>
      </w:r>
    </w:p>
    <w:p w14:paraId="1FCF48CC" w14:textId="1A274AE8" w:rsidR="006A5DF3" w:rsidRDefault="006A5DF3" w:rsidP="006A5DF3">
      <w:pPr>
        <w:pStyle w:val="ListParagraph"/>
        <w:numPr>
          <w:ilvl w:val="1"/>
          <w:numId w:val="3"/>
        </w:numPr>
        <w:tabs>
          <w:tab w:val="right" w:leader="dot" w:pos="9180"/>
        </w:tabs>
        <w:ind w:left="1350" w:right="1386" w:hanging="450"/>
        <w:rPr>
          <w:rFonts w:ascii="Century Gothic" w:hAnsi="Century Gothic"/>
        </w:rPr>
      </w:pPr>
      <w:r w:rsidRPr="006A5DF3">
        <w:rPr>
          <w:rFonts w:ascii="Century Gothic" w:hAnsi="Century Gothic"/>
        </w:rPr>
        <w:t xml:space="preserve">Preparation materials to complete about the cases </w:t>
      </w:r>
      <w:r w:rsidR="00063A8D">
        <w:rPr>
          <w:rFonts w:ascii="Century Gothic" w:hAnsi="Century Gothic"/>
        </w:rPr>
        <w:t xml:space="preserve">(students </w:t>
      </w:r>
      <w:r w:rsidRPr="006A5DF3">
        <w:rPr>
          <w:rFonts w:ascii="Century Gothic" w:hAnsi="Century Gothic"/>
        </w:rPr>
        <w:t xml:space="preserve">should bring </w:t>
      </w:r>
      <w:r w:rsidR="00063A8D">
        <w:rPr>
          <w:rFonts w:ascii="Century Gothic" w:hAnsi="Century Gothic"/>
        </w:rPr>
        <w:t xml:space="preserve">these </w:t>
      </w:r>
      <w:r w:rsidRPr="006A5DF3">
        <w:rPr>
          <w:rFonts w:ascii="Century Gothic" w:hAnsi="Century Gothic"/>
        </w:rPr>
        <w:t>with them to the hearings</w:t>
      </w:r>
      <w:r w:rsidR="00063A8D">
        <w:rPr>
          <w:rFonts w:ascii="Century Gothic" w:hAnsi="Century Gothic"/>
        </w:rPr>
        <w:t>)</w:t>
      </w:r>
    </w:p>
    <w:p w14:paraId="6E287D05" w14:textId="77777777" w:rsidR="006A5DF3" w:rsidRPr="006A5DF3" w:rsidRDefault="006A5DF3" w:rsidP="006A5DF3">
      <w:pPr>
        <w:tabs>
          <w:tab w:val="right" w:leader="dot" w:pos="9180"/>
        </w:tabs>
        <w:rPr>
          <w:rFonts w:ascii="Century Gothic" w:hAnsi="Century Gothic"/>
        </w:rPr>
      </w:pPr>
    </w:p>
    <w:p w14:paraId="34256271" w14:textId="77777777" w:rsidR="0079469C" w:rsidRPr="006A5DF3" w:rsidRDefault="0079469C" w:rsidP="0079469C">
      <w:pPr>
        <w:rPr>
          <w:rFonts w:ascii="Century Gothic" w:hAnsi="Century Gothic"/>
        </w:rPr>
      </w:pPr>
    </w:p>
    <w:p w14:paraId="193E467F" w14:textId="77777777" w:rsidR="0079469C" w:rsidRPr="00D53097" w:rsidRDefault="0079469C" w:rsidP="0079469C">
      <w:pPr>
        <w:rPr>
          <w:rFonts w:ascii="Century Gothic" w:hAnsi="Century Gothic"/>
        </w:rPr>
      </w:pPr>
    </w:p>
    <w:p w14:paraId="05232785" w14:textId="77777777" w:rsidR="0079469C" w:rsidRPr="00D53097" w:rsidRDefault="0079469C" w:rsidP="0079469C">
      <w:pPr>
        <w:rPr>
          <w:rFonts w:ascii="Century Gothic" w:hAnsi="Century Gothic"/>
        </w:rPr>
      </w:pPr>
    </w:p>
    <w:p w14:paraId="30AFC154" w14:textId="77777777" w:rsidR="0079469C" w:rsidRPr="00D53097" w:rsidRDefault="0079469C" w:rsidP="0079469C">
      <w:pPr>
        <w:rPr>
          <w:rFonts w:ascii="Century Gothic" w:hAnsi="Century Gothic"/>
          <w:b/>
          <w:i/>
          <w:color w:val="538135" w:themeColor="accent6" w:themeShade="BF"/>
        </w:rPr>
      </w:pPr>
      <w:r w:rsidRPr="00D53097">
        <w:rPr>
          <w:rFonts w:ascii="Century Gothic" w:hAnsi="Century Gothic"/>
          <w:b/>
          <w:i/>
          <w:color w:val="538135" w:themeColor="accent6" w:themeShade="BF"/>
        </w:rPr>
        <w:t>Note to Teachers:</w:t>
      </w:r>
    </w:p>
    <w:p w14:paraId="61988D34" w14:textId="77777777" w:rsidR="0079469C" w:rsidRPr="00D53097" w:rsidRDefault="0079469C" w:rsidP="0079469C">
      <w:pPr>
        <w:rPr>
          <w:rFonts w:ascii="Century Gothic" w:hAnsi="Century Gothic"/>
        </w:rPr>
      </w:pPr>
    </w:p>
    <w:p w14:paraId="346DEDFD" w14:textId="367D41C3" w:rsidR="0079469C" w:rsidRPr="00D53097" w:rsidRDefault="0079469C" w:rsidP="0079469C">
      <w:pPr>
        <w:rPr>
          <w:rFonts w:ascii="Century Gothic" w:hAnsi="Century Gothic"/>
        </w:rPr>
      </w:pPr>
      <w:r w:rsidRPr="00D53097">
        <w:rPr>
          <w:rFonts w:ascii="Century Gothic" w:hAnsi="Century Gothic"/>
        </w:rPr>
        <w:t xml:space="preserve">This section </w:t>
      </w:r>
      <w:r w:rsidR="006A5DF3">
        <w:rPr>
          <w:rFonts w:ascii="Century Gothic" w:hAnsi="Century Gothic"/>
        </w:rPr>
        <w:t>will give students a prepared and positive experience when they see Oregon Supreme Court in live oral arguments</w:t>
      </w:r>
      <w:r w:rsidRPr="00D53097">
        <w:rPr>
          <w:rFonts w:ascii="Century Gothic" w:hAnsi="Century Gothic"/>
        </w:rPr>
        <w:t>.</w:t>
      </w:r>
      <w:r w:rsidR="006A5DF3">
        <w:rPr>
          <w:rFonts w:ascii="Century Gothic" w:hAnsi="Century Gothic"/>
        </w:rPr>
        <w:t xml:space="preserve"> They will be seeing two separate hearings, but an appellate hearing is much different than the traditional trial format students may be used to seeing on television. This section will explain how a hearing works and will provide background on both of the cases, as well as materials students can use to prepare for watching the arguments and forming opinions themselves. </w:t>
      </w:r>
    </w:p>
    <w:p w14:paraId="784FE48A" w14:textId="7E50A243" w:rsidR="0079469C" w:rsidRDefault="0079469C" w:rsidP="0079469C">
      <w:pPr>
        <w:rPr>
          <w:rFonts w:ascii="Century Gothic" w:hAnsi="Century Gothic"/>
        </w:rPr>
      </w:pPr>
    </w:p>
    <w:p w14:paraId="766DEF07" w14:textId="7277E822" w:rsidR="006A5DF3" w:rsidRPr="00063A8D" w:rsidRDefault="006A5DF3" w:rsidP="0079469C">
      <w:pPr>
        <w:rPr>
          <w:rFonts w:ascii="Century Gothic" w:hAnsi="Century Gothic"/>
          <w:color w:val="000000" w:themeColor="text1"/>
        </w:rPr>
      </w:pPr>
    </w:p>
    <w:p w14:paraId="7D1165A5" w14:textId="38143BF6" w:rsidR="006A5DF3" w:rsidRPr="00063A8D" w:rsidRDefault="00063A8D" w:rsidP="0079469C">
      <w:pPr>
        <w:rPr>
          <w:rFonts w:ascii="Century Gothic" w:hAnsi="Century Gothic"/>
          <w:color w:val="000000" w:themeColor="text1"/>
        </w:rPr>
      </w:pPr>
      <w:r>
        <w:rPr>
          <w:rFonts w:ascii="Century Gothic" w:hAnsi="Century Gothic"/>
          <w:color w:val="000000" w:themeColor="text1"/>
        </w:rPr>
        <w:t>The below</w:t>
      </w:r>
      <w:r w:rsidR="00862623" w:rsidRPr="00063A8D">
        <w:rPr>
          <w:rFonts w:ascii="Century Gothic" w:hAnsi="Century Gothic"/>
          <w:color w:val="000000" w:themeColor="text1"/>
        </w:rPr>
        <w:t xml:space="preserve"> </w:t>
      </w:r>
      <w:proofErr w:type="spellStart"/>
      <w:r w:rsidR="00862623" w:rsidRPr="00063A8D">
        <w:rPr>
          <w:rFonts w:ascii="Century Gothic" w:hAnsi="Century Gothic"/>
          <w:color w:val="000000" w:themeColor="text1"/>
        </w:rPr>
        <w:t>url</w:t>
      </w:r>
      <w:proofErr w:type="spellEnd"/>
      <w:r w:rsidR="00862623" w:rsidRPr="00063A8D">
        <w:rPr>
          <w:rFonts w:ascii="Century Gothic" w:hAnsi="Century Gothic"/>
          <w:color w:val="000000" w:themeColor="text1"/>
        </w:rPr>
        <w:t xml:space="preserve"> links to a video of the most recent Pace University Moot Court competition where </w:t>
      </w:r>
      <w:r w:rsidRPr="00063A8D">
        <w:rPr>
          <w:rFonts w:ascii="Century Gothic" w:hAnsi="Century Gothic"/>
          <w:color w:val="000000" w:themeColor="text1"/>
        </w:rPr>
        <w:t xml:space="preserve">you can </w:t>
      </w:r>
      <w:r>
        <w:rPr>
          <w:rFonts w:ascii="Century Gothic" w:hAnsi="Century Gothic"/>
          <w:color w:val="000000" w:themeColor="text1"/>
        </w:rPr>
        <w:t>view</w:t>
      </w:r>
      <w:r w:rsidRPr="00063A8D">
        <w:rPr>
          <w:rFonts w:ascii="Century Gothic" w:hAnsi="Century Gothic"/>
          <w:color w:val="000000" w:themeColor="text1"/>
        </w:rPr>
        <w:t xml:space="preserve"> multiple examples of </w:t>
      </w:r>
      <w:r>
        <w:rPr>
          <w:rFonts w:ascii="Century Gothic" w:hAnsi="Century Gothic"/>
          <w:color w:val="000000" w:themeColor="text1"/>
        </w:rPr>
        <w:t xml:space="preserve">law </w:t>
      </w:r>
      <w:r w:rsidRPr="00063A8D">
        <w:rPr>
          <w:rFonts w:ascii="Century Gothic" w:hAnsi="Century Gothic"/>
          <w:color w:val="000000" w:themeColor="text1"/>
        </w:rPr>
        <w:t xml:space="preserve">students </w:t>
      </w:r>
      <w:r>
        <w:rPr>
          <w:rFonts w:ascii="Century Gothic" w:hAnsi="Century Gothic"/>
          <w:color w:val="000000" w:themeColor="text1"/>
        </w:rPr>
        <w:t>in</w:t>
      </w:r>
      <w:r w:rsidRPr="00063A8D">
        <w:rPr>
          <w:rFonts w:ascii="Century Gothic" w:hAnsi="Century Gothic"/>
          <w:color w:val="000000" w:themeColor="text1"/>
        </w:rPr>
        <w:t xml:space="preserve"> oral argument</w:t>
      </w:r>
      <w:r>
        <w:rPr>
          <w:rFonts w:ascii="Century Gothic" w:hAnsi="Century Gothic"/>
          <w:color w:val="000000" w:themeColor="text1"/>
        </w:rPr>
        <w:t>. A</w:t>
      </w:r>
      <w:r w:rsidRPr="00063A8D">
        <w:rPr>
          <w:rFonts w:ascii="Century Gothic" w:hAnsi="Century Gothic"/>
          <w:color w:val="000000" w:themeColor="text1"/>
        </w:rPr>
        <w:t xml:space="preserve">ny one or several of these </w:t>
      </w:r>
      <w:r>
        <w:rPr>
          <w:rFonts w:ascii="Century Gothic" w:hAnsi="Century Gothic"/>
          <w:color w:val="000000" w:themeColor="text1"/>
        </w:rPr>
        <w:t xml:space="preserve">examples </w:t>
      </w:r>
      <w:r w:rsidRPr="00063A8D">
        <w:rPr>
          <w:rFonts w:ascii="Century Gothic" w:hAnsi="Century Gothic"/>
          <w:color w:val="000000" w:themeColor="text1"/>
        </w:rPr>
        <w:t>will give your students an idea of what to expect</w:t>
      </w:r>
      <w:r>
        <w:rPr>
          <w:rFonts w:ascii="Century Gothic" w:hAnsi="Century Gothic"/>
          <w:color w:val="000000" w:themeColor="text1"/>
        </w:rPr>
        <w:t xml:space="preserve"> at the May 15 hearings</w:t>
      </w:r>
      <w:r w:rsidRPr="00063A8D">
        <w:rPr>
          <w:rFonts w:ascii="Century Gothic" w:hAnsi="Century Gothic"/>
          <w:color w:val="000000" w:themeColor="text1"/>
        </w:rPr>
        <w:t>:</w:t>
      </w:r>
    </w:p>
    <w:p w14:paraId="01D7FB0A" w14:textId="55C65824" w:rsidR="00063A8D" w:rsidRPr="00063A8D" w:rsidRDefault="00063A8D" w:rsidP="0079469C">
      <w:pPr>
        <w:rPr>
          <w:rFonts w:ascii="Century Gothic" w:hAnsi="Century Gothic"/>
          <w:color w:val="000000" w:themeColor="text1"/>
        </w:rPr>
      </w:pPr>
    </w:p>
    <w:p w14:paraId="6740AD19" w14:textId="77777777" w:rsidR="00063A8D" w:rsidRPr="00063A8D" w:rsidRDefault="00063A8D" w:rsidP="00063A8D">
      <w:pPr>
        <w:jc w:val="center"/>
        <w:rPr>
          <w:rFonts w:ascii="Century Gothic" w:hAnsi="Century Gothic"/>
          <w:b/>
          <w:color w:val="4472C4" w:themeColor="accent1"/>
        </w:rPr>
      </w:pPr>
      <w:r w:rsidRPr="00063A8D">
        <w:rPr>
          <w:rFonts w:ascii="Century Gothic" w:hAnsi="Century Gothic"/>
          <w:b/>
          <w:bCs/>
          <w:color w:val="4472C4" w:themeColor="accent1"/>
          <w:shd w:val="clear" w:color="auto" w:fill="FFFFFF"/>
        </w:rPr>
        <w:t>http://tinyurl.com/y4d7wkqb</w:t>
      </w:r>
    </w:p>
    <w:p w14:paraId="35304F0C" w14:textId="77777777" w:rsidR="00063A8D" w:rsidRPr="00063A8D" w:rsidRDefault="00063A8D" w:rsidP="0079469C">
      <w:pPr>
        <w:rPr>
          <w:rFonts w:ascii="Century Gothic" w:hAnsi="Century Gothic"/>
          <w:color w:val="000000" w:themeColor="text1"/>
        </w:rPr>
      </w:pPr>
    </w:p>
    <w:p w14:paraId="404E2D77" w14:textId="1233084C" w:rsidR="006A5DF3" w:rsidRPr="00063A8D" w:rsidRDefault="006A5DF3" w:rsidP="0079469C">
      <w:pPr>
        <w:rPr>
          <w:rFonts w:ascii="Century Gothic" w:hAnsi="Century Gothic"/>
          <w:color w:val="000000" w:themeColor="text1"/>
        </w:rPr>
      </w:pPr>
    </w:p>
    <w:p w14:paraId="4AD20BD3" w14:textId="77777777" w:rsidR="006A5DF3" w:rsidRPr="00063A8D" w:rsidRDefault="006A5DF3" w:rsidP="0079469C">
      <w:pPr>
        <w:rPr>
          <w:rFonts w:ascii="Century Gothic" w:hAnsi="Century Gothic"/>
          <w:color w:val="000000" w:themeColor="text1"/>
        </w:rPr>
      </w:pPr>
    </w:p>
    <w:p w14:paraId="776B32E0" w14:textId="668BA5EC" w:rsidR="006A5DF3" w:rsidRDefault="006A5DF3" w:rsidP="0079469C">
      <w:pPr>
        <w:rPr>
          <w:rFonts w:ascii="Century Gothic" w:hAnsi="Century Gothic"/>
        </w:rPr>
      </w:pPr>
    </w:p>
    <w:p w14:paraId="166933F7" w14:textId="5CFB4D6A" w:rsidR="006A5DF3" w:rsidRDefault="006A5DF3" w:rsidP="0079469C">
      <w:pPr>
        <w:rPr>
          <w:rFonts w:ascii="Century Gothic" w:hAnsi="Century Gothic"/>
        </w:rPr>
      </w:pPr>
    </w:p>
    <w:p w14:paraId="2FD5CEAD" w14:textId="0CA523D8" w:rsidR="006A5DF3" w:rsidRDefault="006A5DF3" w:rsidP="0079469C">
      <w:pPr>
        <w:rPr>
          <w:rFonts w:ascii="Century Gothic" w:hAnsi="Century Gothic"/>
        </w:rPr>
      </w:pPr>
    </w:p>
    <w:p w14:paraId="365CBE88" w14:textId="1F062F91" w:rsidR="00CF62B4" w:rsidRDefault="00CF62B4" w:rsidP="0079469C">
      <w:pPr>
        <w:rPr>
          <w:rFonts w:ascii="Century Gothic" w:hAnsi="Century Gothic"/>
        </w:rPr>
      </w:pPr>
    </w:p>
    <w:p w14:paraId="5E40A239" w14:textId="77777777" w:rsidR="00CF62B4" w:rsidRDefault="00CF62B4" w:rsidP="006A5DF3">
      <w:pPr>
        <w:rPr>
          <w:rFonts w:ascii="Century Gothic" w:hAnsi="Century Gothic"/>
          <w:b/>
          <w:bCs/>
          <w:sz w:val="18"/>
          <w:szCs w:val="18"/>
        </w:rPr>
      </w:pPr>
    </w:p>
    <w:p w14:paraId="5EC8C411" w14:textId="156BA90A" w:rsidR="006A5DF3" w:rsidRPr="00CF62B4" w:rsidRDefault="006A5DF3" w:rsidP="006A5DF3">
      <w:pPr>
        <w:rPr>
          <w:rFonts w:ascii="Century Gothic" w:hAnsi="Century Gothic"/>
          <w:b/>
          <w:bCs/>
          <w:sz w:val="18"/>
          <w:szCs w:val="18"/>
        </w:rPr>
      </w:pPr>
      <w:r w:rsidRPr="00CF62B4">
        <w:rPr>
          <w:rFonts w:ascii="Century Gothic" w:hAnsi="Century Gothic"/>
          <w:b/>
          <w:bCs/>
          <w:sz w:val="18"/>
          <w:szCs w:val="18"/>
        </w:rPr>
        <w:lastRenderedPageBreak/>
        <w:t>Oregon Supreme Court Oral Arguments</w:t>
      </w:r>
    </w:p>
    <w:p w14:paraId="5716A4A7" w14:textId="6305423F" w:rsidR="006A5DF3" w:rsidRPr="00CF62B4" w:rsidRDefault="006A5DF3" w:rsidP="006A5DF3">
      <w:pPr>
        <w:rPr>
          <w:rFonts w:ascii="Century Gothic" w:hAnsi="Century Gothic"/>
          <w:b/>
          <w:bCs/>
          <w:sz w:val="18"/>
          <w:szCs w:val="18"/>
        </w:rPr>
      </w:pPr>
      <w:r w:rsidRPr="00CF62B4">
        <w:rPr>
          <w:rFonts w:ascii="Century Gothic" w:hAnsi="Century Gothic"/>
          <w:b/>
          <w:bCs/>
          <w:sz w:val="18"/>
          <w:szCs w:val="18"/>
        </w:rPr>
        <w:t>3.1 - How Oral Arguments Work</w:t>
      </w:r>
    </w:p>
    <w:p w14:paraId="1AB78AC3" w14:textId="77777777" w:rsidR="006A5DF3" w:rsidRDefault="006A5DF3" w:rsidP="006A5DF3">
      <w:pPr>
        <w:rPr>
          <w:rFonts w:ascii="Century Gothic" w:hAnsi="Century Gothic"/>
          <w:sz w:val="20"/>
          <w:szCs w:val="20"/>
        </w:rPr>
      </w:pPr>
    </w:p>
    <w:p w14:paraId="0E532A7E" w14:textId="77777777" w:rsidR="006A5DF3" w:rsidRDefault="006A5DF3" w:rsidP="006A5DF3">
      <w:pPr>
        <w:rPr>
          <w:rFonts w:ascii="Century Gothic" w:hAnsi="Century Gothic"/>
          <w:sz w:val="20"/>
          <w:szCs w:val="20"/>
        </w:rPr>
      </w:pPr>
    </w:p>
    <w:p w14:paraId="2791DA79" w14:textId="5AA956E8" w:rsidR="006A5DF3" w:rsidRPr="00DD37B2" w:rsidRDefault="006A5DF3" w:rsidP="006A5DF3">
      <w:pPr>
        <w:jc w:val="center"/>
        <w:rPr>
          <w:rFonts w:ascii="Century Gothic" w:hAnsi="Century Gothic"/>
          <w:b/>
          <w:color w:val="538135" w:themeColor="accent6" w:themeShade="BF"/>
          <w:sz w:val="28"/>
          <w:szCs w:val="28"/>
        </w:rPr>
      </w:pPr>
      <w:r w:rsidRPr="00DD37B2">
        <w:rPr>
          <w:rFonts w:ascii="Century Gothic" w:hAnsi="Century Gothic"/>
          <w:b/>
          <w:color w:val="538135" w:themeColor="accent6" w:themeShade="BF"/>
          <w:sz w:val="28"/>
          <w:szCs w:val="28"/>
        </w:rPr>
        <w:t>How Oral Arguments Work</w:t>
      </w:r>
    </w:p>
    <w:p w14:paraId="312475D2" w14:textId="2D77E809" w:rsidR="006A5DF3" w:rsidRDefault="006A5DF3" w:rsidP="0079469C">
      <w:pPr>
        <w:rPr>
          <w:rFonts w:ascii="Century Gothic" w:hAnsi="Century Gothic"/>
        </w:rPr>
      </w:pPr>
    </w:p>
    <w:p w14:paraId="6C0D6E5E" w14:textId="5A5008D4" w:rsidR="006A5DF3" w:rsidRDefault="006A5DF3" w:rsidP="0079469C">
      <w:pPr>
        <w:rPr>
          <w:rFonts w:ascii="Century Gothic" w:hAnsi="Century Gothic"/>
        </w:rPr>
      </w:pPr>
    </w:p>
    <w:p w14:paraId="4B6F9072" w14:textId="120540AE" w:rsidR="006A5DF3" w:rsidRDefault="006A5DF3" w:rsidP="0079469C">
      <w:pPr>
        <w:rPr>
          <w:rFonts w:ascii="Century Gothic" w:hAnsi="Century Gothic"/>
        </w:rPr>
      </w:pPr>
    </w:p>
    <w:p w14:paraId="6E8F0FD3" w14:textId="04E52C4A" w:rsidR="006A5DF3" w:rsidRDefault="006F7EC1" w:rsidP="0079469C">
      <w:pPr>
        <w:rPr>
          <w:rFonts w:ascii="Century Gothic" w:hAnsi="Century Gothic"/>
        </w:rPr>
      </w:pPr>
      <w:r>
        <w:rPr>
          <w:rFonts w:ascii="Century Gothic" w:hAnsi="Century Gothic"/>
        </w:rPr>
        <w:t>How the courtroom looks:</w:t>
      </w:r>
    </w:p>
    <w:p w14:paraId="66E0D292" w14:textId="59FB1403" w:rsidR="006F7EC1" w:rsidRDefault="006F7EC1" w:rsidP="0079469C">
      <w:pPr>
        <w:rPr>
          <w:rFonts w:ascii="Century Gothic" w:hAnsi="Century Gothic"/>
        </w:rPr>
      </w:pPr>
    </w:p>
    <w:p w14:paraId="103BA34A" w14:textId="54F7C017" w:rsidR="006F7EC1" w:rsidRDefault="006F7EC1" w:rsidP="0079469C">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3F911B1B" wp14:editId="4F25018C">
                <wp:simplePos x="0" y="0"/>
                <wp:positionH relativeFrom="column">
                  <wp:posOffset>1484906</wp:posOffset>
                </wp:positionH>
                <wp:positionV relativeFrom="paragraph">
                  <wp:posOffset>89618</wp:posOffset>
                </wp:positionV>
                <wp:extent cx="3021496" cy="387626"/>
                <wp:effectExtent l="0" t="0" r="13970" b="19050"/>
                <wp:wrapNone/>
                <wp:docPr id="1" name="Rounded Rectangle 1"/>
                <wp:cNvGraphicFramePr/>
                <a:graphic xmlns:a="http://schemas.openxmlformats.org/drawingml/2006/main">
                  <a:graphicData uri="http://schemas.microsoft.com/office/word/2010/wordprocessingShape">
                    <wps:wsp>
                      <wps:cNvSpPr/>
                      <wps:spPr>
                        <a:xfrm>
                          <a:off x="0" y="0"/>
                          <a:ext cx="3021496" cy="387626"/>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C90734" w14:textId="17952123" w:rsidR="00862623" w:rsidRPr="006F7EC1" w:rsidRDefault="00862623" w:rsidP="006F7EC1">
                            <w:pPr>
                              <w:jc w:val="center"/>
                              <w:rPr>
                                <w:rFonts w:ascii="Century Gothic" w:hAnsi="Century Gothic"/>
                                <w:b/>
                                <w:color w:val="000000" w:themeColor="text1"/>
                              </w:rPr>
                            </w:pPr>
                            <w:r w:rsidRPr="006F7EC1">
                              <w:rPr>
                                <w:rFonts w:ascii="Century Gothic" w:hAnsi="Century Gothic"/>
                                <w:b/>
                                <w:color w:val="000000" w:themeColor="text1"/>
                              </w:rPr>
                              <w:t>Justices’ Bench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11B1B" id="Rounded Rectangle 1" o:spid="_x0000_s1026" style="position:absolute;margin-left:116.9pt;margin-top:7.05pt;width:237.9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" fillcolor="#c5e0b3 [1305]" strokecolor="#1f3763 [1604]" strokeweight="1pt">
                <v:stroke joinstyle="miter"/>
                <v:textbox>
                  <w:txbxContent>
                    <w:p w14:paraId="47C90734" w14:textId="17952123" w:rsidR="00862623" w:rsidRPr="006F7EC1" w:rsidRDefault="00862623" w:rsidP="006F7EC1">
                      <w:pPr>
                        <w:jc w:val="center"/>
                        <w:rPr>
                          <w:rFonts w:ascii="Century Gothic" w:hAnsi="Century Gothic"/>
                          <w:b/>
                          <w:color w:val="000000" w:themeColor="text1"/>
                        </w:rPr>
                      </w:pPr>
                      <w:r w:rsidRPr="006F7EC1">
                        <w:rPr>
                          <w:rFonts w:ascii="Century Gothic" w:hAnsi="Century Gothic"/>
                          <w:b/>
                          <w:color w:val="000000" w:themeColor="text1"/>
                        </w:rPr>
                        <w:t>Justices’ Bench</w:t>
                      </w:r>
                    </w:p>
                  </w:txbxContent>
                </v:textbox>
              </v:roundrect>
            </w:pict>
          </mc:Fallback>
        </mc:AlternateContent>
      </w:r>
    </w:p>
    <w:p w14:paraId="5F8E64F4" w14:textId="74C3C1EC" w:rsidR="006F7EC1" w:rsidRDefault="006F7EC1" w:rsidP="0079469C">
      <w:pPr>
        <w:rPr>
          <w:rFonts w:ascii="Century Gothic" w:hAnsi="Century Gothic"/>
        </w:rPr>
      </w:pPr>
    </w:p>
    <w:p w14:paraId="14F38069" w14:textId="5C91F16B" w:rsidR="006F7EC1" w:rsidRDefault="006F7EC1" w:rsidP="0079469C">
      <w:pPr>
        <w:rPr>
          <w:rFonts w:ascii="Century Gothic" w:hAnsi="Century Gothic"/>
        </w:rPr>
      </w:pPr>
    </w:p>
    <w:p w14:paraId="65E77554" w14:textId="7B8D0116" w:rsidR="006F7EC1" w:rsidRDefault="006F7EC1" w:rsidP="0079469C">
      <w:pPr>
        <w:rPr>
          <w:rFonts w:ascii="Century Gothic" w:hAnsi="Century Gothic"/>
        </w:rPr>
      </w:pPr>
    </w:p>
    <w:p w14:paraId="6B6FA692" w14:textId="3556195D" w:rsidR="006F7EC1" w:rsidRDefault="006F7EC1" w:rsidP="0079469C">
      <w:pPr>
        <w:rPr>
          <w:rFonts w:ascii="Century Gothic" w:hAnsi="Century Gothic"/>
        </w:rPr>
      </w:pPr>
    </w:p>
    <w:p w14:paraId="4317D509" w14:textId="0454825B" w:rsidR="006F7EC1" w:rsidRDefault="006F7EC1" w:rsidP="0079469C">
      <w:pPr>
        <w:rPr>
          <w:rFonts w:ascii="Century Gothic" w:hAnsi="Century Gothic"/>
        </w:rPr>
      </w:pPr>
    </w:p>
    <w:p w14:paraId="3919867F" w14:textId="03C92AB7" w:rsidR="006F7EC1" w:rsidRDefault="006F7EC1" w:rsidP="0079469C">
      <w:p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562FF13C" wp14:editId="7F36E76C">
                <wp:simplePos x="0" y="0"/>
                <wp:positionH relativeFrom="column">
                  <wp:posOffset>2617968</wp:posOffset>
                </wp:positionH>
                <wp:positionV relativeFrom="paragraph">
                  <wp:posOffset>51572</wp:posOffset>
                </wp:positionV>
                <wp:extent cx="695270" cy="626165"/>
                <wp:effectExtent l="0" t="0" r="16510" b="8890"/>
                <wp:wrapNone/>
                <wp:docPr id="2" name="Rounded Rectangle 2"/>
                <wp:cNvGraphicFramePr/>
                <a:graphic xmlns:a="http://schemas.openxmlformats.org/drawingml/2006/main">
                  <a:graphicData uri="http://schemas.microsoft.com/office/word/2010/wordprocessingShape">
                    <wps:wsp>
                      <wps:cNvSpPr/>
                      <wps:spPr>
                        <a:xfrm>
                          <a:off x="0" y="0"/>
                          <a:ext cx="695270" cy="62616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8474D9" w14:textId="5453381B" w:rsidR="00862623" w:rsidRPr="006F7EC1" w:rsidRDefault="00862623" w:rsidP="006F7EC1">
                            <w:pPr>
                              <w:jc w:val="center"/>
                              <w:rPr>
                                <w:rFonts w:ascii="Century Gothic" w:hAnsi="Century Gothic"/>
                                <w:b/>
                                <w:color w:val="000000" w:themeColor="text1"/>
                                <w:sz w:val="16"/>
                                <w:szCs w:val="16"/>
                              </w:rPr>
                            </w:pPr>
                            <w:r w:rsidRPr="006F7EC1">
                              <w:rPr>
                                <w:rFonts w:ascii="Century Gothic" w:hAnsi="Century Gothic"/>
                                <w:b/>
                                <w:color w:val="000000" w:themeColor="text1"/>
                                <w:sz w:val="16"/>
                                <w:szCs w:val="16"/>
                              </w:rPr>
                              <w:t>Attorney Podium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FF13C" id="Rounded Rectangle 2" o:spid="_x0000_s1027" style="position:absolute;margin-left:206.15pt;margin-top:4.05pt;width:54.75pt;height:4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" fillcolor="#e2efd9 [665]" strokecolor="#1f3763 [1604]" strokeweight="1pt">
                <v:stroke joinstyle="miter"/>
                <v:textbox>
                  <w:txbxContent>
                    <w:p w14:paraId="718474D9" w14:textId="5453381B" w:rsidR="00862623" w:rsidRPr="006F7EC1" w:rsidRDefault="00862623" w:rsidP="006F7EC1">
                      <w:pPr>
                        <w:jc w:val="center"/>
                        <w:rPr>
                          <w:rFonts w:ascii="Century Gothic" w:hAnsi="Century Gothic"/>
                          <w:b/>
                          <w:color w:val="000000" w:themeColor="text1"/>
                          <w:sz w:val="16"/>
                          <w:szCs w:val="16"/>
                        </w:rPr>
                      </w:pPr>
                      <w:r w:rsidRPr="006F7EC1">
                        <w:rPr>
                          <w:rFonts w:ascii="Century Gothic" w:hAnsi="Century Gothic"/>
                          <w:b/>
                          <w:color w:val="000000" w:themeColor="text1"/>
                          <w:sz w:val="16"/>
                          <w:szCs w:val="16"/>
                        </w:rPr>
                        <w:t>Attorney Podium</w:t>
                      </w:r>
                    </w:p>
                  </w:txbxContent>
                </v:textbox>
              </v:roundrect>
            </w:pict>
          </mc:Fallback>
        </mc:AlternateContent>
      </w:r>
    </w:p>
    <w:p w14:paraId="285FE706" w14:textId="3CC80CA2" w:rsidR="006A5DF3" w:rsidRDefault="006A5DF3" w:rsidP="0079469C">
      <w:pPr>
        <w:rPr>
          <w:rFonts w:ascii="Century Gothic" w:hAnsi="Century Gothic"/>
        </w:rPr>
      </w:pPr>
    </w:p>
    <w:p w14:paraId="5169C740" w14:textId="620DB80B" w:rsidR="006A5DF3" w:rsidRDefault="006A5DF3" w:rsidP="0079469C">
      <w:pPr>
        <w:rPr>
          <w:rFonts w:ascii="Century Gothic" w:hAnsi="Century Gothic"/>
        </w:rPr>
      </w:pPr>
    </w:p>
    <w:p w14:paraId="435A6E04" w14:textId="7F3B5821" w:rsidR="006A5DF3" w:rsidRDefault="006A5DF3" w:rsidP="0079469C">
      <w:pPr>
        <w:rPr>
          <w:rFonts w:ascii="Century Gothic" w:hAnsi="Century Gothic"/>
        </w:rPr>
      </w:pPr>
    </w:p>
    <w:p w14:paraId="22B0F189" w14:textId="188DA1C4" w:rsidR="006A5DF3" w:rsidRDefault="006F7EC1" w:rsidP="0079469C">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4942AE13" wp14:editId="120764C6">
                <wp:simplePos x="0" y="0"/>
                <wp:positionH relativeFrom="column">
                  <wp:posOffset>3624884</wp:posOffset>
                </wp:positionH>
                <wp:positionV relativeFrom="paragraph">
                  <wp:posOffset>92213</wp:posOffset>
                </wp:positionV>
                <wp:extent cx="884555" cy="467139"/>
                <wp:effectExtent l="0" t="0" r="17145" b="15875"/>
                <wp:wrapNone/>
                <wp:docPr id="8" name="Round Diagonal Corner Rectangle 8"/>
                <wp:cNvGraphicFramePr/>
                <a:graphic xmlns:a="http://schemas.openxmlformats.org/drawingml/2006/main">
                  <a:graphicData uri="http://schemas.microsoft.com/office/word/2010/wordprocessingShape">
                    <wps:wsp>
                      <wps:cNvSpPr/>
                      <wps:spPr>
                        <a:xfrm>
                          <a:off x="0" y="0"/>
                          <a:ext cx="884555" cy="467139"/>
                        </a:xfrm>
                        <a:prstGeom prst="round2Diag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797BE" w14:textId="77777777" w:rsidR="00862623" w:rsidRPr="006F7EC1" w:rsidRDefault="00862623" w:rsidP="006F7EC1">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42AE13" id="Round Diagonal Corner Rectangle 8" o:spid="_x0000_s1028" style="position:absolute;margin-left:285.4pt;margin-top:7.25pt;width:69.65pt;height:3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84555,46713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" adj="-11796480,,5400" path="m77858,l884555,r,l884555,389281v,43000,-34858,77858,-77858,77858l,467139r,l,77858c,34858,34858,,77858,xe" fillcolor="#538135 [2409]" strokecolor="#1f3763 [1604]" strokeweight="1pt">
                <v:stroke joinstyle="miter"/>
                <v:formulas/>
                <v:path arrowok="t" o:connecttype="custom" o:connectlocs="77858,0;884555,0;884555,0;884555,389281;806697,467139;0,467139;0,467139;0,77858;77858,0" o:connectangles="0,0,0,0,0,0,0,0,0" textboxrect="0,0,884555,467139"/>
                <v:textbox>
                  <w:txbxContent>
                    <w:p w14:paraId="0BD797BE" w14:textId="77777777" w:rsidR="00862623" w:rsidRPr="006F7EC1" w:rsidRDefault="00862623" w:rsidP="006F7EC1">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v:textbox>
              </v:shape>
            </w:pict>
          </mc:Fallback>
        </mc:AlternateContent>
      </w:r>
      <w:r>
        <w:rPr>
          <w:rFonts w:ascii="Century Gothic" w:hAnsi="Century Gothic"/>
          <w:noProof/>
        </w:rPr>
        <mc:AlternateContent>
          <mc:Choice Requires="wps">
            <w:drawing>
              <wp:anchor distT="0" distB="0" distL="114300" distR="114300" simplePos="0" relativeHeight="251663360" behindDoc="0" locked="0" layoutInCell="1" allowOverlap="1" wp14:anchorId="5EADD699" wp14:editId="1EE24490">
                <wp:simplePos x="0" y="0"/>
                <wp:positionH relativeFrom="column">
                  <wp:posOffset>1435210</wp:posOffset>
                </wp:positionH>
                <wp:positionV relativeFrom="paragraph">
                  <wp:posOffset>89368</wp:posOffset>
                </wp:positionV>
                <wp:extent cx="884555" cy="467139"/>
                <wp:effectExtent l="0" t="0" r="17145" b="15875"/>
                <wp:wrapNone/>
                <wp:docPr id="4" name="Round Diagonal Corner Rectangle 4"/>
                <wp:cNvGraphicFramePr/>
                <a:graphic xmlns:a="http://schemas.openxmlformats.org/drawingml/2006/main">
                  <a:graphicData uri="http://schemas.microsoft.com/office/word/2010/wordprocessingShape">
                    <wps:wsp>
                      <wps:cNvSpPr/>
                      <wps:spPr>
                        <a:xfrm>
                          <a:off x="0" y="0"/>
                          <a:ext cx="884555" cy="467139"/>
                        </a:xfrm>
                        <a:prstGeom prst="round2Diag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5EF46" w14:textId="37C86FD7" w:rsidR="00862623" w:rsidRPr="006F7EC1" w:rsidRDefault="00862623" w:rsidP="006F7EC1">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ADD699" id="Round Diagonal Corner Rectangle 4" o:spid="_x0000_s1029" style="position:absolute;margin-left:113pt;margin-top:7.05pt;width:69.65pt;height:3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84555,46713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" adj="-11796480,,5400" path="m77858,l884555,r,l884555,389281v,43000,-34858,77858,-77858,77858l,467139r,l,77858c,34858,34858,,77858,xe" fillcolor="#538135 [2409]" strokecolor="#1f3763 [1604]" strokeweight="1pt">
                <v:stroke joinstyle="miter"/>
                <v:formulas/>
                <v:path arrowok="t" o:connecttype="custom" o:connectlocs="77858,0;884555,0;884555,0;884555,389281;806697,467139;0,467139;0,467139;0,77858;77858,0" o:connectangles="0,0,0,0,0,0,0,0,0" textboxrect="0,0,884555,467139"/>
                <v:textbox>
                  <w:txbxContent>
                    <w:p w14:paraId="4E65EF46" w14:textId="37C86FD7" w:rsidR="00862623" w:rsidRPr="006F7EC1" w:rsidRDefault="00862623" w:rsidP="006F7EC1">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v:textbox>
              </v:shape>
            </w:pict>
          </mc:Fallback>
        </mc:AlternateContent>
      </w:r>
    </w:p>
    <w:p w14:paraId="16290381" w14:textId="7D49F01E" w:rsidR="006A5DF3" w:rsidRDefault="006A5DF3" w:rsidP="0079469C">
      <w:pPr>
        <w:rPr>
          <w:rFonts w:ascii="Century Gothic" w:hAnsi="Century Gothic"/>
        </w:rPr>
      </w:pPr>
    </w:p>
    <w:p w14:paraId="247BFA11" w14:textId="1BB53206" w:rsidR="006A5DF3" w:rsidRDefault="006A5DF3" w:rsidP="0079469C">
      <w:pPr>
        <w:rPr>
          <w:rFonts w:ascii="Century Gothic" w:hAnsi="Century Gothic"/>
        </w:rPr>
      </w:pPr>
    </w:p>
    <w:p w14:paraId="6B2E8912" w14:textId="77777777" w:rsidR="006A5DF3" w:rsidRPr="00D53097" w:rsidRDefault="006A5DF3" w:rsidP="0079469C">
      <w:pPr>
        <w:rPr>
          <w:rFonts w:ascii="Century Gothic" w:hAnsi="Century Gothic"/>
        </w:rPr>
      </w:pPr>
    </w:p>
    <w:p w14:paraId="2BFF75F9" w14:textId="77777777" w:rsidR="0079469C" w:rsidRDefault="0079469C" w:rsidP="0079469C">
      <w:pPr>
        <w:rPr>
          <w:rFonts w:ascii="Century Gothic" w:hAnsi="Century Gothic"/>
        </w:rPr>
      </w:pPr>
    </w:p>
    <w:p w14:paraId="352E8E28" w14:textId="56106FDE" w:rsidR="00DD37B2" w:rsidRPr="00DD37B2" w:rsidRDefault="00DD37B2">
      <w:pPr>
        <w:rPr>
          <w:rFonts w:ascii="Century Gothic" w:hAnsi="Century Gothic"/>
        </w:rPr>
      </w:pPr>
    </w:p>
    <w:p w14:paraId="6B211EF1" w14:textId="4ACBF3C6" w:rsidR="00DD37B2" w:rsidRDefault="00DD37B2">
      <w:pPr>
        <w:rPr>
          <w:rFonts w:ascii="Century Gothic" w:hAnsi="Century Gothic"/>
        </w:rPr>
      </w:pPr>
      <w:r w:rsidRPr="00DD37B2">
        <w:rPr>
          <w:rFonts w:ascii="Century Gothic" w:hAnsi="Century Gothic"/>
        </w:rPr>
        <w:t xml:space="preserve">In a Supreme Court hearing (also called “oral argument”), there </w:t>
      </w:r>
      <w:r>
        <w:rPr>
          <w:rFonts w:ascii="Century Gothic" w:hAnsi="Century Gothic"/>
        </w:rPr>
        <w:t>are:</w:t>
      </w:r>
    </w:p>
    <w:p w14:paraId="1398E501" w14:textId="2BF9E529" w:rsidR="00DD37B2" w:rsidRPr="00DD37B2" w:rsidRDefault="00DD37B2" w:rsidP="00DD37B2">
      <w:pPr>
        <w:pStyle w:val="ListParagraph"/>
        <w:numPr>
          <w:ilvl w:val="0"/>
          <w:numId w:val="4"/>
        </w:numPr>
        <w:ind w:left="1440"/>
        <w:rPr>
          <w:rFonts w:ascii="Century Gothic" w:hAnsi="Century Gothic"/>
        </w:rPr>
      </w:pPr>
      <w:r w:rsidRPr="00DD37B2">
        <w:rPr>
          <w:rFonts w:ascii="Century Gothic" w:hAnsi="Century Gothic"/>
        </w:rPr>
        <w:t>no jur</w:t>
      </w:r>
      <w:r>
        <w:rPr>
          <w:rFonts w:ascii="Century Gothic" w:hAnsi="Century Gothic"/>
        </w:rPr>
        <w:t>ies</w:t>
      </w:r>
    </w:p>
    <w:p w14:paraId="3F1D3037" w14:textId="77777777" w:rsidR="00DD37B2" w:rsidRPr="00DD37B2" w:rsidRDefault="00DD37B2" w:rsidP="00DD37B2">
      <w:pPr>
        <w:pStyle w:val="ListParagraph"/>
        <w:numPr>
          <w:ilvl w:val="0"/>
          <w:numId w:val="4"/>
        </w:numPr>
        <w:ind w:left="1440"/>
        <w:rPr>
          <w:rFonts w:ascii="Century Gothic" w:hAnsi="Century Gothic"/>
        </w:rPr>
      </w:pPr>
      <w:r w:rsidRPr="00DD37B2">
        <w:rPr>
          <w:rFonts w:ascii="Century Gothic" w:hAnsi="Century Gothic"/>
        </w:rPr>
        <w:t>no witnesses</w:t>
      </w:r>
    </w:p>
    <w:p w14:paraId="7ADCF483" w14:textId="2DC58F24" w:rsidR="00DD37B2" w:rsidRPr="00DD37B2" w:rsidRDefault="00DD37B2" w:rsidP="00DD37B2">
      <w:pPr>
        <w:pStyle w:val="ListParagraph"/>
        <w:numPr>
          <w:ilvl w:val="0"/>
          <w:numId w:val="4"/>
        </w:numPr>
        <w:ind w:left="1440"/>
        <w:rPr>
          <w:rFonts w:ascii="Century Gothic" w:hAnsi="Century Gothic"/>
        </w:rPr>
      </w:pPr>
      <w:r w:rsidRPr="00DD37B2">
        <w:rPr>
          <w:rFonts w:ascii="Century Gothic" w:hAnsi="Century Gothic"/>
        </w:rPr>
        <w:t>no exhibits</w:t>
      </w:r>
    </w:p>
    <w:p w14:paraId="72B0814D" w14:textId="77777777" w:rsidR="00DD37B2" w:rsidRDefault="00DD37B2">
      <w:pPr>
        <w:rPr>
          <w:rFonts w:ascii="Century Gothic" w:hAnsi="Century Gothic"/>
        </w:rPr>
      </w:pPr>
    </w:p>
    <w:p w14:paraId="46F37E64" w14:textId="010B5A49" w:rsidR="00DD37B2" w:rsidRDefault="00DD37B2">
      <w:pPr>
        <w:rPr>
          <w:rFonts w:ascii="Century Gothic" w:hAnsi="Century Gothic"/>
        </w:rPr>
      </w:pPr>
      <w:r w:rsidRPr="00DD37B2">
        <w:rPr>
          <w:rFonts w:ascii="Century Gothic" w:hAnsi="Century Gothic"/>
        </w:rPr>
        <w:t xml:space="preserve">The </w:t>
      </w:r>
      <w:r>
        <w:rPr>
          <w:rFonts w:ascii="Century Gothic" w:hAnsi="Century Gothic"/>
        </w:rPr>
        <w:t>Justices have already read briefs of the case prior to the hearing. Each side (and even third parties) submit briefs</w:t>
      </w:r>
      <w:r w:rsidR="00063A8D">
        <w:rPr>
          <w:rFonts w:ascii="Century Gothic" w:hAnsi="Century Gothic"/>
        </w:rPr>
        <w:t xml:space="preserve"> </w:t>
      </w:r>
      <w:r>
        <w:rPr>
          <w:rFonts w:ascii="Century Gothic" w:hAnsi="Century Gothic"/>
        </w:rPr>
        <w:t xml:space="preserve">- or </w:t>
      </w:r>
      <w:r w:rsidR="00063A8D">
        <w:rPr>
          <w:rFonts w:ascii="Century Gothic" w:hAnsi="Century Gothic"/>
        </w:rPr>
        <w:t>stories</w:t>
      </w:r>
      <w:r>
        <w:rPr>
          <w:rFonts w:ascii="Century Gothic" w:hAnsi="Century Gothic"/>
        </w:rPr>
        <w:t xml:space="preserve"> of the case. </w:t>
      </w:r>
      <w:r w:rsidR="00063A8D">
        <w:rPr>
          <w:rFonts w:ascii="Century Gothic" w:hAnsi="Century Gothic"/>
        </w:rPr>
        <w:t>T</w:t>
      </w:r>
      <w:r>
        <w:rPr>
          <w:rFonts w:ascii="Century Gothic" w:hAnsi="Century Gothic"/>
        </w:rPr>
        <w:t xml:space="preserve">he hearing is </w:t>
      </w:r>
      <w:r w:rsidR="00063A8D">
        <w:rPr>
          <w:rFonts w:ascii="Century Gothic" w:hAnsi="Century Gothic"/>
        </w:rPr>
        <w:t>simply</w:t>
      </w:r>
      <w:r>
        <w:rPr>
          <w:rFonts w:ascii="Century Gothic" w:hAnsi="Century Gothic"/>
        </w:rPr>
        <w:t xml:space="preserve"> a final chance to make their most important points.</w:t>
      </w:r>
    </w:p>
    <w:p w14:paraId="13F0DD9C" w14:textId="77777777" w:rsidR="00DD37B2" w:rsidRDefault="00DD37B2">
      <w:pPr>
        <w:rPr>
          <w:rFonts w:ascii="Century Gothic" w:hAnsi="Century Gothic"/>
        </w:rPr>
      </w:pPr>
    </w:p>
    <w:p w14:paraId="397C7475" w14:textId="6A5FD38A" w:rsidR="00DD37B2" w:rsidRDefault="00063A8D">
      <w:pPr>
        <w:rPr>
          <w:rFonts w:ascii="Century Gothic" w:hAnsi="Century Gothic"/>
        </w:rPr>
      </w:pPr>
      <w:r>
        <w:rPr>
          <w:rFonts w:ascii="Century Gothic" w:hAnsi="Century Gothic"/>
        </w:rPr>
        <w:t>Petitioner’s</w:t>
      </w:r>
      <w:r w:rsidR="00DD37B2" w:rsidRPr="00DD37B2">
        <w:rPr>
          <w:rFonts w:ascii="Century Gothic" w:hAnsi="Century Gothic"/>
        </w:rPr>
        <w:t xml:space="preserve"> attorney and the </w:t>
      </w:r>
      <w:r>
        <w:rPr>
          <w:rFonts w:ascii="Century Gothic" w:hAnsi="Century Gothic"/>
        </w:rPr>
        <w:t>Respondent’s</w:t>
      </w:r>
      <w:r w:rsidR="00DD37B2" w:rsidRPr="00DD37B2">
        <w:rPr>
          <w:rFonts w:ascii="Century Gothic" w:hAnsi="Century Gothic"/>
        </w:rPr>
        <w:t xml:space="preserve"> attorney each have a set amount of time </w:t>
      </w:r>
      <w:r w:rsidR="00DD37B2">
        <w:rPr>
          <w:rFonts w:ascii="Century Gothic" w:hAnsi="Century Gothic"/>
        </w:rPr>
        <w:t xml:space="preserve">(usually 30 minutes) </w:t>
      </w:r>
      <w:r w:rsidR="00DD37B2" w:rsidRPr="00DD37B2">
        <w:rPr>
          <w:rFonts w:ascii="Century Gothic" w:hAnsi="Century Gothic"/>
        </w:rPr>
        <w:t xml:space="preserve">to make their case before the bench of Justices. </w:t>
      </w:r>
      <w:r w:rsidR="00DD37B2">
        <w:rPr>
          <w:rFonts w:ascii="Century Gothic" w:hAnsi="Century Gothic"/>
        </w:rPr>
        <w:t xml:space="preserve">The attorneys must use all of their public speaking skills to make their case concisely and persuasively. </w:t>
      </w:r>
    </w:p>
    <w:p w14:paraId="0901E486" w14:textId="77777777" w:rsidR="00DD37B2" w:rsidRDefault="00DD37B2">
      <w:pPr>
        <w:rPr>
          <w:rFonts w:ascii="Century Gothic" w:hAnsi="Century Gothic"/>
        </w:rPr>
      </w:pPr>
    </w:p>
    <w:p w14:paraId="67108161" w14:textId="7943399C" w:rsidR="00DD37B2" w:rsidRDefault="00DD37B2">
      <w:pPr>
        <w:rPr>
          <w:rFonts w:ascii="Century Gothic" w:hAnsi="Century Gothic"/>
        </w:rPr>
      </w:pPr>
      <w:r>
        <w:rPr>
          <w:rFonts w:ascii="Century Gothic" w:hAnsi="Century Gothic"/>
        </w:rPr>
        <w:t>Then</w:t>
      </w:r>
      <w:r w:rsidR="00063A8D">
        <w:rPr>
          <w:rFonts w:ascii="Century Gothic" w:hAnsi="Century Gothic"/>
        </w:rPr>
        <w:t>,</w:t>
      </w:r>
      <w:r>
        <w:rPr>
          <w:rFonts w:ascii="Century Gothic" w:hAnsi="Century Gothic"/>
        </w:rPr>
        <w:t xml:space="preserve"> they must be able to think quickly and flexibly because the Justices can ask any </w:t>
      </w:r>
      <w:proofErr w:type="gramStart"/>
      <w:r>
        <w:rPr>
          <w:rFonts w:ascii="Century Gothic" w:hAnsi="Century Gothic"/>
        </w:rPr>
        <w:t>questions</w:t>
      </w:r>
      <w:proofErr w:type="gramEnd"/>
      <w:r>
        <w:rPr>
          <w:rFonts w:ascii="Century Gothic" w:hAnsi="Century Gothic"/>
        </w:rPr>
        <w:t xml:space="preserve"> they want of either attorney. The attorneys must be ready to respond to any question put to them by the Court.</w:t>
      </w:r>
    </w:p>
    <w:p w14:paraId="126798F1" w14:textId="1C2E4174" w:rsidR="00DD37B2" w:rsidRDefault="00DD37B2">
      <w:pPr>
        <w:rPr>
          <w:rFonts w:ascii="Century Gothic" w:hAnsi="Century Gothic"/>
        </w:rPr>
      </w:pPr>
    </w:p>
    <w:p w14:paraId="3591AF9F" w14:textId="5C6EACCD" w:rsidR="00970828" w:rsidRDefault="00970828">
      <w:pPr>
        <w:rPr>
          <w:rFonts w:ascii="Century Gothic" w:hAnsi="Century Gothic"/>
        </w:rPr>
      </w:pPr>
      <w:r>
        <w:rPr>
          <w:rFonts w:ascii="Century Gothic" w:hAnsi="Century Gothic"/>
        </w:rPr>
        <w:br w:type="page"/>
      </w:r>
    </w:p>
    <w:p w14:paraId="206EF7EC" w14:textId="53BB3CBD" w:rsidR="00970828" w:rsidRPr="00970828" w:rsidRDefault="00970828" w:rsidP="00970828">
      <w:pPr>
        <w:rPr>
          <w:rFonts w:ascii="Century Gothic" w:hAnsi="Century Gothic"/>
          <w:sz w:val="18"/>
          <w:szCs w:val="18"/>
          <w:u w:val="single"/>
        </w:rPr>
      </w:pPr>
      <w:r w:rsidRPr="00063A8D">
        <w:rPr>
          <w:rFonts w:ascii="Century Gothic" w:hAnsi="Century Gothic"/>
          <w:sz w:val="18"/>
          <w:szCs w:val="18"/>
        </w:rPr>
        <w:lastRenderedPageBreak/>
        <w:t>Oregon Supreme Court Oral Arguments</w:t>
      </w:r>
      <w:r w:rsidR="00CF62B4">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Name: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p>
    <w:p w14:paraId="1CE82DA2" w14:textId="45BBC39D" w:rsidR="00DD37B2" w:rsidRDefault="00DD37B2">
      <w:pPr>
        <w:rPr>
          <w:rFonts w:ascii="Century Gothic" w:hAnsi="Century Gothic"/>
        </w:rPr>
      </w:pPr>
    </w:p>
    <w:p w14:paraId="4F4C2C7C" w14:textId="385371B5" w:rsidR="00970828" w:rsidRDefault="00970828">
      <w:pPr>
        <w:rPr>
          <w:rFonts w:ascii="Century Gothic" w:hAnsi="Century Gothic"/>
        </w:rPr>
      </w:pPr>
    </w:p>
    <w:p w14:paraId="743DEC5D" w14:textId="4387AB40" w:rsidR="00970828" w:rsidRPr="00775E7E" w:rsidRDefault="00970828" w:rsidP="00775E7E">
      <w:pPr>
        <w:jc w:val="center"/>
        <w:rPr>
          <w:rFonts w:ascii="Century Gothic" w:hAnsi="Century Gothic"/>
          <w:b/>
          <w:sz w:val="28"/>
          <w:szCs w:val="28"/>
        </w:rPr>
      </w:pPr>
      <w:r w:rsidRPr="00775E7E">
        <w:rPr>
          <w:rFonts w:ascii="Century Gothic" w:hAnsi="Century Gothic"/>
          <w:b/>
          <w:sz w:val="28"/>
          <w:szCs w:val="28"/>
        </w:rPr>
        <w:t>Persuasive Speaking / Rhetoric</w:t>
      </w:r>
    </w:p>
    <w:p w14:paraId="46C188E5" w14:textId="09ADA072" w:rsidR="00970828" w:rsidRDefault="00970828">
      <w:pPr>
        <w:rPr>
          <w:rFonts w:ascii="Century Gothic" w:hAnsi="Century Gothic"/>
        </w:rPr>
      </w:pPr>
    </w:p>
    <w:p w14:paraId="64F0F46D" w14:textId="22C20098" w:rsidR="00970828" w:rsidRPr="00775E7E" w:rsidRDefault="00970828">
      <w:pPr>
        <w:rPr>
          <w:rFonts w:ascii="Century Gothic" w:hAnsi="Century Gothic"/>
          <w:sz w:val="20"/>
          <w:szCs w:val="20"/>
        </w:rPr>
      </w:pPr>
      <w:r w:rsidRPr="00775E7E">
        <w:rPr>
          <w:rFonts w:ascii="Century Gothic" w:hAnsi="Century Gothic"/>
          <w:sz w:val="20"/>
          <w:szCs w:val="20"/>
        </w:rPr>
        <w:t>Because there are no witnesses or exhibits in an appellate hearing, attorneys must use their best persuasive skills to present their case and answer questions from the Court. Below are the 3 main parts of rhetoric you might use to persuade someone to your way of thinking on a topic. Consider each one, and then try them out in brief persuasive sentences.</w:t>
      </w:r>
    </w:p>
    <w:p w14:paraId="079D93A6" w14:textId="43360545" w:rsidR="00970828" w:rsidRDefault="00970828">
      <w:pPr>
        <w:rPr>
          <w:rFonts w:ascii="Century Gothic" w:hAnsi="Century Gothic"/>
        </w:rPr>
      </w:pPr>
    </w:p>
    <w:p w14:paraId="0A750A3A" w14:textId="5CDC5981" w:rsidR="00970828" w:rsidRDefault="00970828" w:rsidP="00775E7E">
      <w:pPr>
        <w:pBdr>
          <w:top w:val="single" w:sz="4" w:space="1" w:color="auto" w:shadow="1"/>
          <w:left w:val="single" w:sz="4" w:space="4" w:color="auto" w:shadow="1"/>
          <w:bottom w:val="single" w:sz="4" w:space="1" w:color="auto" w:shadow="1"/>
          <w:right w:val="single" w:sz="4" w:space="4" w:color="auto" w:shadow="1"/>
        </w:pBdr>
        <w:ind w:left="720"/>
        <w:rPr>
          <w:rFonts w:ascii="Century Gothic" w:hAnsi="Century Gothic"/>
        </w:rPr>
      </w:pPr>
      <w:r w:rsidRPr="00775E7E">
        <w:rPr>
          <w:rFonts w:ascii="Century Gothic" w:hAnsi="Century Gothic"/>
          <w:i/>
        </w:rPr>
        <w:t xml:space="preserve">Scenario: </w:t>
      </w:r>
      <w:r>
        <w:rPr>
          <w:rFonts w:ascii="Century Gothic" w:hAnsi="Century Gothic"/>
        </w:rPr>
        <w:t>You must convince your principal that attending a live hearing of the Oregon Supreme Court would be a good idea for your class. How might you convince the principal?</w:t>
      </w:r>
    </w:p>
    <w:p w14:paraId="083A0985" w14:textId="358BEF09" w:rsidR="00970828" w:rsidRDefault="00970828">
      <w:pPr>
        <w:rPr>
          <w:rFonts w:ascii="Century Gothic" w:hAnsi="Century Gothic"/>
        </w:rPr>
      </w:pPr>
    </w:p>
    <w:p w14:paraId="5652CBDE" w14:textId="49DAD40D" w:rsidR="00970828" w:rsidRPr="00775E7E" w:rsidRDefault="00970828">
      <w:pPr>
        <w:rPr>
          <w:rFonts w:ascii="Century Gothic" w:hAnsi="Century Gothic"/>
          <w:sz w:val="22"/>
          <w:szCs w:val="22"/>
        </w:rPr>
      </w:pPr>
      <w:r w:rsidRPr="00775E7E">
        <w:rPr>
          <w:rFonts w:ascii="Century Gothic" w:hAnsi="Century Gothic"/>
          <w:b/>
          <w:sz w:val="22"/>
          <w:szCs w:val="22"/>
        </w:rPr>
        <w:t>Logos</w:t>
      </w:r>
      <w:r w:rsidRPr="00775E7E">
        <w:rPr>
          <w:rFonts w:ascii="Century Gothic" w:hAnsi="Century Gothic"/>
          <w:sz w:val="22"/>
          <w:szCs w:val="22"/>
        </w:rPr>
        <w:t xml:space="preserve">: </w:t>
      </w:r>
      <w:r w:rsidR="00775E7E" w:rsidRPr="00775E7E">
        <w:rPr>
          <w:rFonts w:ascii="Century Gothic" w:hAnsi="Century Gothic"/>
          <w:sz w:val="22"/>
          <w:szCs w:val="22"/>
        </w:rPr>
        <w:t>appealing</w:t>
      </w:r>
      <w:r w:rsidRPr="00775E7E">
        <w:rPr>
          <w:rFonts w:ascii="Century Gothic" w:hAnsi="Century Gothic"/>
          <w:sz w:val="22"/>
          <w:szCs w:val="22"/>
        </w:rPr>
        <w:t xml:space="preserve"> to the </w:t>
      </w:r>
      <w:r w:rsidRPr="00775E7E">
        <w:rPr>
          <w:rFonts w:ascii="Century Gothic" w:hAnsi="Century Gothic"/>
          <w:i/>
          <w:sz w:val="22"/>
          <w:szCs w:val="22"/>
        </w:rPr>
        <w:t>logic</w:t>
      </w:r>
      <w:r w:rsidRPr="00775E7E">
        <w:rPr>
          <w:rFonts w:ascii="Century Gothic" w:hAnsi="Century Gothic"/>
          <w:sz w:val="22"/>
          <w:szCs w:val="22"/>
        </w:rPr>
        <w:t xml:space="preserve"> of your listener. You might cite facts or </w:t>
      </w:r>
      <w:r w:rsidR="00775E7E" w:rsidRPr="00775E7E">
        <w:rPr>
          <w:rFonts w:ascii="Century Gothic" w:hAnsi="Century Gothic"/>
          <w:sz w:val="22"/>
          <w:szCs w:val="22"/>
        </w:rPr>
        <w:t>statistics</w:t>
      </w:r>
      <w:r w:rsidRPr="00775E7E">
        <w:rPr>
          <w:rFonts w:ascii="Century Gothic" w:hAnsi="Century Gothic"/>
          <w:sz w:val="22"/>
          <w:szCs w:val="22"/>
        </w:rPr>
        <w:t xml:space="preserve">, or authorities </w:t>
      </w:r>
      <w:r w:rsidR="00596329">
        <w:rPr>
          <w:rFonts w:ascii="Century Gothic" w:hAnsi="Century Gothic"/>
          <w:sz w:val="22"/>
          <w:szCs w:val="22"/>
        </w:rPr>
        <w:t xml:space="preserve">(in a hearing, this would include former cases or the law) </w:t>
      </w:r>
      <w:r w:rsidRPr="00775E7E">
        <w:rPr>
          <w:rFonts w:ascii="Century Gothic" w:hAnsi="Century Gothic"/>
          <w:sz w:val="22"/>
          <w:szCs w:val="22"/>
        </w:rPr>
        <w:t xml:space="preserve">to appeal to the </w:t>
      </w:r>
      <w:r w:rsidRPr="00775E7E">
        <w:rPr>
          <w:rFonts w:ascii="Century Gothic" w:hAnsi="Century Gothic"/>
          <w:i/>
          <w:sz w:val="22"/>
          <w:szCs w:val="22"/>
        </w:rPr>
        <w:t>reason</w:t>
      </w:r>
      <w:r w:rsidRPr="00775E7E">
        <w:rPr>
          <w:rFonts w:ascii="Century Gothic" w:hAnsi="Century Gothic"/>
          <w:sz w:val="22"/>
          <w:szCs w:val="22"/>
        </w:rPr>
        <w:t xml:space="preserve"> of your listener to convince them of your view.</w:t>
      </w:r>
    </w:p>
    <w:p w14:paraId="55E9A6B1" w14:textId="7FACAF56" w:rsidR="00775E7E" w:rsidRPr="00775E7E" w:rsidRDefault="00775E7E">
      <w:pPr>
        <w:rPr>
          <w:rFonts w:ascii="Century Gothic" w:hAnsi="Century Gothic"/>
          <w:sz w:val="22"/>
          <w:szCs w:val="22"/>
        </w:rPr>
      </w:pPr>
    </w:p>
    <w:p w14:paraId="1ECF6AAF" w14:textId="17AB8FBD" w:rsidR="00775E7E" w:rsidRPr="00775E7E" w:rsidRDefault="00775E7E" w:rsidP="00775E7E">
      <w:pPr>
        <w:pStyle w:val="ListParagraph"/>
        <w:numPr>
          <w:ilvl w:val="0"/>
          <w:numId w:val="20"/>
        </w:numPr>
        <w:rPr>
          <w:rFonts w:ascii="Century Gothic" w:hAnsi="Century Gothic"/>
          <w:sz w:val="22"/>
          <w:szCs w:val="22"/>
        </w:rPr>
      </w:pPr>
      <w:r w:rsidRPr="00775E7E">
        <w:rPr>
          <w:rFonts w:ascii="Century Gothic" w:hAnsi="Century Gothic"/>
          <w:sz w:val="22"/>
          <w:szCs w:val="22"/>
        </w:rPr>
        <w:t xml:space="preserve">Write a </w:t>
      </w:r>
      <w:r w:rsidRPr="00775E7E">
        <w:rPr>
          <w:rFonts w:ascii="Century Gothic" w:hAnsi="Century Gothic"/>
          <w:b/>
          <w:i/>
          <w:sz w:val="22"/>
          <w:szCs w:val="22"/>
        </w:rPr>
        <w:t>Logos</w:t>
      </w:r>
      <w:r w:rsidRPr="00775E7E">
        <w:rPr>
          <w:rFonts w:ascii="Century Gothic" w:hAnsi="Century Gothic"/>
          <w:sz w:val="22"/>
          <w:szCs w:val="22"/>
        </w:rPr>
        <w:t xml:space="preserve"> argument for the above scenario:</w:t>
      </w:r>
    </w:p>
    <w:p w14:paraId="2BB5FD09" w14:textId="77DC1458" w:rsidR="00775E7E" w:rsidRPr="00775E7E" w:rsidRDefault="00775E7E" w:rsidP="00775E7E">
      <w:pPr>
        <w:rPr>
          <w:rFonts w:ascii="Century Gothic" w:hAnsi="Century Gothic"/>
          <w:sz w:val="22"/>
          <w:szCs w:val="22"/>
        </w:rPr>
      </w:pPr>
    </w:p>
    <w:p w14:paraId="51057897" w14:textId="59F0262D" w:rsidR="00775E7E" w:rsidRPr="00775E7E" w:rsidRDefault="00775E7E" w:rsidP="00775E7E">
      <w:pPr>
        <w:rPr>
          <w:rFonts w:ascii="Century Gothic" w:hAnsi="Century Gothic"/>
          <w:sz w:val="22"/>
          <w:szCs w:val="22"/>
        </w:rPr>
      </w:pPr>
    </w:p>
    <w:p w14:paraId="6CF566B5" w14:textId="1D723035" w:rsidR="00775E7E" w:rsidRPr="00775E7E" w:rsidRDefault="00775E7E" w:rsidP="00775E7E">
      <w:pPr>
        <w:rPr>
          <w:rFonts w:ascii="Century Gothic" w:hAnsi="Century Gothic"/>
          <w:sz w:val="22"/>
          <w:szCs w:val="22"/>
        </w:rPr>
      </w:pPr>
    </w:p>
    <w:p w14:paraId="40B01DDF" w14:textId="3F76CBD4" w:rsidR="00775E7E" w:rsidRPr="00775E7E" w:rsidRDefault="00775E7E" w:rsidP="00775E7E">
      <w:pPr>
        <w:rPr>
          <w:rFonts w:ascii="Century Gothic" w:hAnsi="Century Gothic"/>
          <w:sz w:val="22"/>
          <w:szCs w:val="22"/>
        </w:rPr>
      </w:pPr>
    </w:p>
    <w:p w14:paraId="4B76595C" w14:textId="14BFFE5E" w:rsidR="00775E7E" w:rsidRPr="00775E7E" w:rsidRDefault="00775E7E" w:rsidP="00775E7E">
      <w:pPr>
        <w:rPr>
          <w:rFonts w:ascii="Century Gothic" w:hAnsi="Century Gothic"/>
          <w:sz w:val="22"/>
          <w:szCs w:val="22"/>
        </w:rPr>
      </w:pPr>
    </w:p>
    <w:p w14:paraId="248E1984" w14:textId="7A75ADB9" w:rsidR="00775E7E" w:rsidRPr="00775E7E" w:rsidRDefault="00775E7E" w:rsidP="00775E7E">
      <w:pPr>
        <w:rPr>
          <w:rFonts w:ascii="Century Gothic" w:hAnsi="Century Gothic"/>
          <w:sz w:val="22"/>
          <w:szCs w:val="22"/>
        </w:rPr>
      </w:pPr>
    </w:p>
    <w:p w14:paraId="0F968B12" w14:textId="1D61E491" w:rsidR="00775E7E" w:rsidRPr="00775E7E" w:rsidRDefault="00775E7E" w:rsidP="00775E7E">
      <w:pPr>
        <w:rPr>
          <w:rFonts w:ascii="Century Gothic" w:hAnsi="Century Gothic"/>
          <w:sz w:val="22"/>
          <w:szCs w:val="22"/>
        </w:rPr>
      </w:pPr>
    </w:p>
    <w:p w14:paraId="4F8A5CE6" w14:textId="437BFEB0" w:rsidR="00775E7E" w:rsidRPr="00775E7E" w:rsidRDefault="00775E7E" w:rsidP="00775E7E">
      <w:pPr>
        <w:rPr>
          <w:rFonts w:ascii="Century Gothic" w:hAnsi="Century Gothic"/>
          <w:sz w:val="22"/>
          <w:szCs w:val="22"/>
        </w:rPr>
      </w:pPr>
      <w:r w:rsidRPr="00775E7E">
        <w:rPr>
          <w:rFonts w:ascii="Century Gothic" w:hAnsi="Century Gothic"/>
          <w:b/>
          <w:sz w:val="22"/>
          <w:szCs w:val="22"/>
        </w:rPr>
        <w:t>Ethos:</w:t>
      </w:r>
      <w:r w:rsidRPr="00775E7E">
        <w:rPr>
          <w:rFonts w:ascii="Century Gothic" w:hAnsi="Century Gothic"/>
          <w:sz w:val="22"/>
          <w:szCs w:val="22"/>
        </w:rPr>
        <w:t xml:space="preserve"> making an </w:t>
      </w:r>
      <w:r w:rsidRPr="00775E7E">
        <w:rPr>
          <w:rFonts w:ascii="Century Gothic" w:hAnsi="Century Gothic"/>
          <w:i/>
          <w:sz w:val="22"/>
          <w:szCs w:val="22"/>
        </w:rPr>
        <w:t>ethical</w:t>
      </w:r>
      <w:r w:rsidRPr="00775E7E">
        <w:rPr>
          <w:rFonts w:ascii="Century Gothic" w:hAnsi="Century Gothic"/>
          <w:sz w:val="22"/>
          <w:szCs w:val="22"/>
        </w:rPr>
        <w:t xml:space="preserve"> appeal to your listener based on your </w:t>
      </w:r>
      <w:r w:rsidRPr="00775E7E">
        <w:rPr>
          <w:rFonts w:ascii="Century Gothic" w:hAnsi="Century Gothic"/>
          <w:i/>
          <w:sz w:val="22"/>
          <w:szCs w:val="22"/>
        </w:rPr>
        <w:t>good character</w:t>
      </w:r>
      <w:r w:rsidRPr="00775E7E">
        <w:rPr>
          <w:rFonts w:ascii="Century Gothic" w:hAnsi="Century Gothic"/>
          <w:sz w:val="22"/>
          <w:szCs w:val="22"/>
        </w:rPr>
        <w:t xml:space="preserve"> or reliability. You must convince the listener that you are fair, reliable, and understand what you are talking about. </w:t>
      </w:r>
    </w:p>
    <w:p w14:paraId="7EE79159" w14:textId="77777777" w:rsidR="00775E7E" w:rsidRPr="00775E7E" w:rsidRDefault="00775E7E" w:rsidP="00775E7E">
      <w:pPr>
        <w:rPr>
          <w:rFonts w:ascii="Century Gothic" w:hAnsi="Century Gothic"/>
          <w:sz w:val="22"/>
          <w:szCs w:val="22"/>
        </w:rPr>
      </w:pPr>
    </w:p>
    <w:p w14:paraId="01904B76" w14:textId="04F967C4" w:rsidR="00775E7E" w:rsidRPr="00775E7E" w:rsidRDefault="00775E7E" w:rsidP="00775E7E">
      <w:pPr>
        <w:pStyle w:val="ListParagraph"/>
        <w:numPr>
          <w:ilvl w:val="0"/>
          <w:numId w:val="20"/>
        </w:numPr>
        <w:rPr>
          <w:rFonts w:ascii="Century Gothic" w:hAnsi="Century Gothic"/>
          <w:sz w:val="22"/>
          <w:szCs w:val="22"/>
        </w:rPr>
      </w:pPr>
      <w:r w:rsidRPr="00775E7E">
        <w:rPr>
          <w:rFonts w:ascii="Century Gothic" w:hAnsi="Century Gothic"/>
          <w:sz w:val="22"/>
          <w:szCs w:val="22"/>
        </w:rPr>
        <w:t xml:space="preserve">Write an </w:t>
      </w:r>
      <w:r w:rsidRPr="00775E7E">
        <w:rPr>
          <w:rFonts w:ascii="Century Gothic" w:hAnsi="Century Gothic"/>
          <w:b/>
          <w:i/>
          <w:sz w:val="22"/>
          <w:szCs w:val="22"/>
        </w:rPr>
        <w:t>Ethos</w:t>
      </w:r>
      <w:r w:rsidRPr="00775E7E">
        <w:rPr>
          <w:rFonts w:ascii="Century Gothic" w:hAnsi="Century Gothic"/>
          <w:sz w:val="22"/>
          <w:szCs w:val="22"/>
        </w:rPr>
        <w:t xml:space="preserve"> argument for the above scenario:</w:t>
      </w:r>
    </w:p>
    <w:p w14:paraId="14F9E54E" w14:textId="51DEA093" w:rsidR="00DD37B2" w:rsidRPr="00775E7E" w:rsidRDefault="00DD37B2">
      <w:pPr>
        <w:rPr>
          <w:rFonts w:ascii="Century Gothic" w:hAnsi="Century Gothic"/>
          <w:sz w:val="22"/>
          <w:szCs w:val="22"/>
        </w:rPr>
      </w:pPr>
    </w:p>
    <w:p w14:paraId="500EAAEC" w14:textId="77777777" w:rsidR="00DD37B2" w:rsidRPr="00775E7E" w:rsidRDefault="00DD37B2" w:rsidP="00DD37B2">
      <w:pPr>
        <w:rPr>
          <w:rFonts w:ascii="Century Gothic" w:hAnsi="Century Gothic"/>
          <w:sz w:val="22"/>
          <w:szCs w:val="22"/>
        </w:rPr>
      </w:pPr>
    </w:p>
    <w:p w14:paraId="665117C5" w14:textId="74907AF7" w:rsidR="00775E7E" w:rsidRDefault="00775E7E">
      <w:pPr>
        <w:rPr>
          <w:rFonts w:ascii="Century Gothic" w:hAnsi="Century Gothic"/>
          <w:b/>
          <w:sz w:val="22"/>
          <w:szCs w:val="22"/>
        </w:rPr>
      </w:pPr>
    </w:p>
    <w:p w14:paraId="65CA3975" w14:textId="1A0B34B8" w:rsidR="00775E7E" w:rsidRDefault="00775E7E">
      <w:pPr>
        <w:rPr>
          <w:rFonts w:ascii="Century Gothic" w:hAnsi="Century Gothic"/>
          <w:b/>
          <w:sz w:val="22"/>
          <w:szCs w:val="22"/>
        </w:rPr>
      </w:pPr>
    </w:p>
    <w:p w14:paraId="3AF229F2" w14:textId="77777777" w:rsidR="00775E7E" w:rsidRPr="00775E7E" w:rsidRDefault="00775E7E">
      <w:pPr>
        <w:rPr>
          <w:rFonts w:ascii="Century Gothic" w:hAnsi="Century Gothic"/>
          <w:b/>
          <w:sz w:val="22"/>
          <w:szCs w:val="22"/>
        </w:rPr>
      </w:pPr>
    </w:p>
    <w:p w14:paraId="25543F00" w14:textId="77777777" w:rsidR="00775E7E" w:rsidRPr="00775E7E" w:rsidRDefault="00775E7E">
      <w:pPr>
        <w:rPr>
          <w:rFonts w:ascii="Century Gothic" w:hAnsi="Century Gothic"/>
          <w:b/>
          <w:sz w:val="22"/>
          <w:szCs w:val="22"/>
        </w:rPr>
      </w:pPr>
    </w:p>
    <w:p w14:paraId="5674BB48" w14:textId="77777777" w:rsidR="00775E7E" w:rsidRPr="00775E7E" w:rsidRDefault="00775E7E">
      <w:pPr>
        <w:rPr>
          <w:rFonts w:ascii="Century Gothic" w:hAnsi="Century Gothic"/>
          <w:b/>
          <w:sz w:val="22"/>
          <w:szCs w:val="22"/>
        </w:rPr>
      </w:pPr>
    </w:p>
    <w:p w14:paraId="57419864" w14:textId="1E8E4B4B" w:rsidR="00775E7E" w:rsidRPr="00775E7E" w:rsidRDefault="00775E7E" w:rsidP="00775E7E">
      <w:pPr>
        <w:rPr>
          <w:rFonts w:ascii="Century Gothic" w:hAnsi="Century Gothic"/>
          <w:sz w:val="22"/>
          <w:szCs w:val="22"/>
        </w:rPr>
      </w:pPr>
      <w:r w:rsidRPr="00775E7E">
        <w:rPr>
          <w:rFonts w:ascii="Century Gothic" w:hAnsi="Century Gothic"/>
          <w:b/>
          <w:sz w:val="22"/>
          <w:szCs w:val="22"/>
        </w:rPr>
        <w:t>Pathos:</w:t>
      </w:r>
      <w:r w:rsidRPr="00775E7E">
        <w:rPr>
          <w:rFonts w:ascii="Century Gothic" w:hAnsi="Century Gothic"/>
          <w:sz w:val="22"/>
          <w:szCs w:val="22"/>
        </w:rPr>
        <w:t xml:space="preserve"> appealing </w:t>
      </w:r>
      <w:r w:rsidRPr="00775E7E">
        <w:rPr>
          <w:rFonts w:ascii="Century Gothic" w:hAnsi="Century Gothic"/>
          <w:i/>
          <w:sz w:val="22"/>
          <w:szCs w:val="22"/>
        </w:rPr>
        <w:t>emotionally</w:t>
      </w:r>
      <w:r w:rsidRPr="00775E7E">
        <w:rPr>
          <w:rFonts w:ascii="Century Gothic" w:hAnsi="Century Gothic"/>
          <w:sz w:val="22"/>
          <w:szCs w:val="22"/>
        </w:rPr>
        <w:t xml:space="preserve"> to your listener. You persuade by appealing to the emotions of your audience, calling on personal experiences, sympathetic stories, drawing compassion and empathy from your listener.</w:t>
      </w:r>
    </w:p>
    <w:p w14:paraId="4EEFE12E" w14:textId="77777777" w:rsidR="00775E7E" w:rsidRPr="00775E7E" w:rsidRDefault="00775E7E" w:rsidP="00775E7E">
      <w:pPr>
        <w:rPr>
          <w:rFonts w:ascii="Century Gothic" w:hAnsi="Century Gothic"/>
          <w:sz w:val="22"/>
          <w:szCs w:val="22"/>
        </w:rPr>
      </w:pPr>
    </w:p>
    <w:p w14:paraId="639E7C72" w14:textId="1A0A68F2" w:rsidR="00775E7E" w:rsidRPr="00775E7E" w:rsidRDefault="00775E7E" w:rsidP="00775E7E">
      <w:pPr>
        <w:pStyle w:val="ListParagraph"/>
        <w:numPr>
          <w:ilvl w:val="0"/>
          <w:numId w:val="20"/>
        </w:numPr>
        <w:rPr>
          <w:rFonts w:ascii="Century Gothic" w:hAnsi="Century Gothic"/>
          <w:sz w:val="22"/>
          <w:szCs w:val="22"/>
        </w:rPr>
      </w:pPr>
      <w:r w:rsidRPr="00775E7E">
        <w:rPr>
          <w:rFonts w:ascii="Century Gothic" w:hAnsi="Century Gothic"/>
          <w:sz w:val="22"/>
          <w:szCs w:val="22"/>
        </w:rPr>
        <w:t xml:space="preserve">Write a </w:t>
      </w:r>
      <w:r w:rsidRPr="00775E7E">
        <w:rPr>
          <w:rFonts w:ascii="Century Gothic" w:hAnsi="Century Gothic"/>
          <w:b/>
          <w:i/>
          <w:sz w:val="22"/>
          <w:szCs w:val="22"/>
        </w:rPr>
        <w:t>Pathos</w:t>
      </w:r>
      <w:r w:rsidRPr="00775E7E">
        <w:rPr>
          <w:rFonts w:ascii="Century Gothic" w:hAnsi="Century Gothic"/>
          <w:sz w:val="22"/>
          <w:szCs w:val="22"/>
        </w:rPr>
        <w:t xml:space="preserve"> argument for the above scenario:</w:t>
      </w:r>
    </w:p>
    <w:p w14:paraId="52192058" w14:textId="77777777" w:rsidR="00775E7E" w:rsidRPr="00775E7E" w:rsidRDefault="00775E7E" w:rsidP="00775E7E">
      <w:pPr>
        <w:rPr>
          <w:rFonts w:ascii="Century Gothic" w:hAnsi="Century Gothic"/>
          <w:sz w:val="22"/>
          <w:szCs w:val="22"/>
        </w:rPr>
      </w:pPr>
    </w:p>
    <w:p w14:paraId="14E9A30D" w14:textId="2C01A71D" w:rsidR="008C5842" w:rsidRDefault="008C5842">
      <w:pPr>
        <w:rPr>
          <w:rFonts w:ascii="Century Gothic" w:hAnsi="Century Gothic"/>
          <w:b/>
          <w:sz w:val="20"/>
          <w:szCs w:val="20"/>
        </w:rPr>
      </w:pPr>
      <w:r>
        <w:rPr>
          <w:rFonts w:ascii="Century Gothic" w:hAnsi="Century Gothic"/>
          <w:b/>
          <w:sz w:val="20"/>
          <w:szCs w:val="20"/>
        </w:rPr>
        <w:br w:type="page"/>
      </w:r>
    </w:p>
    <w:p w14:paraId="5DC000EA" w14:textId="30E331B7" w:rsidR="00DD37B2" w:rsidRPr="00063A8D" w:rsidRDefault="00DD37B2" w:rsidP="00DD37B2">
      <w:pPr>
        <w:rPr>
          <w:rFonts w:ascii="Century Gothic" w:hAnsi="Century Gothic"/>
          <w:sz w:val="18"/>
          <w:szCs w:val="18"/>
        </w:rPr>
      </w:pPr>
      <w:r w:rsidRPr="00063A8D">
        <w:rPr>
          <w:rFonts w:ascii="Century Gothic" w:hAnsi="Century Gothic"/>
          <w:sz w:val="18"/>
          <w:szCs w:val="18"/>
        </w:rPr>
        <w:lastRenderedPageBreak/>
        <w:t xml:space="preserve">Oregon Supreme Court Oral Arguments </w:t>
      </w:r>
    </w:p>
    <w:p w14:paraId="29F00167" w14:textId="6D043FCD" w:rsidR="00DD37B2" w:rsidRPr="00063A8D" w:rsidRDefault="00DD37B2" w:rsidP="00DD37B2">
      <w:pPr>
        <w:rPr>
          <w:rFonts w:ascii="Century Gothic" w:hAnsi="Century Gothic"/>
          <w:sz w:val="18"/>
          <w:szCs w:val="18"/>
        </w:rPr>
      </w:pPr>
      <w:r w:rsidRPr="00063A8D">
        <w:rPr>
          <w:rFonts w:ascii="Century Gothic" w:hAnsi="Century Gothic"/>
          <w:sz w:val="18"/>
          <w:szCs w:val="18"/>
        </w:rPr>
        <w:t>3.</w:t>
      </w:r>
      <w:r w:rsidR="00775E7E">
        <w:rPr>
          <w:rFonts w:ascii="Century Gothic" w:hAnsi="Century Gothic"/>
          <w:sz w:val="18"/>
          <w:szCs w:val="18"/>
        </w:rPr>
        <w:t>3</w:t>
      </w:r>
      <w:r w:rsidRPr="00063A8D">
        <w:rPr>
          <w:rFonts w:ascii="Century Gothic" w:hAnsi="Century Gothic"/>
          <w:sz w:val="18"/>
          <w:szCs w:val="18"/>
        </w:rPr>
        <w:t xml:space="preserve"> - </w:t>
      </w:r>
      <w:r w:rsidR="003F2030" w:rsidRPr="00063A8D">
        <w:rPr>
          <w:rFonts w:ascii="Century Gothic" w:hAnsi="Century Gothic"/>
          <w:sz w:val="18"/>
          <w:szCs w:val="18"/>
        </w:rPr>
        <w:t>The Cases</w:t>
      </w:r>
    </w:p>
    <w:p w14:paraId="0147A759" w14:textId="77777777" w:rsidR="00DD37B2" w:rsidRDefault="00DD37B2" w:rsidP="00DD37B2">
      <w:pPr>
        <w:rPr>
          <w:rFonts w:ascii="Century Gothic" w:hAnsi="Century Gothic"/>
          <w:sz w:val="20"/>
          <w:szCs w:val="20"/>
        </w:rPr>
      </w:pPr>
    </w:p>
    <w:p w14:paraId="34EBA706" w14:textId="0C92D7E9" w:rsidR="00DD37B2" w:rsidRPr="003F2030" w:rsidRDefault="008E1D50" w:rsidP="00DD37B2">
      <w:pPr>
        <w:jc w:val="center"/>
        <w:rPr>
          <w:rFonts w:ascii="Century Gothic" w:hAnsi="Century Gothic"/>
          <w:b/>
          <w:color w:val="000000" w:themeColor="text1"/>
          <w:sz w:val="28"/>
          <w:szCs w:val="28"/>
        </w:rPr>
      </w:pPr>
      <w:r>
        <w:rPr>
          <w:rFonts w:ascii="Century Gothic" w:hAnsi="Century Gothic"/>
          <w:b/>
          <w:color w:val="000000" w:themeColor="text1"/>
          <w:sz w:val="28"/>
          <w:szCs w:val="28"/>
        </w:rPr>
        <w:t>Background of Case #1:</w:t>
      </w:r>
    </w:p>
    <w:p w14:paraId="4F7352AB" w14:textId="77777777" w:rsidR="00DD37B2" w:rsidRPr="008E1D50" w:rsidRDefault="00DD37B2" w:rsidP="00DD37B2">
      <w:pPr>
        <w:rPr>
          <w:rFonts w:ascii="Century Gothic" w:hAnsi="Century Gothic" w:cs="Arial"/>
        </w:rPr>
      </w:pPr>
    </w:p>
    <w:p w14:paraId="53DEDAC0" w14:textId="46769FAE" w:rsidR="008E1D50" w:rsidRDefault="00CF62B4" w:rsidP="008E1D50">
      <w:pPr>
        <w:jc w:val="center"/>
        <w:rPr>
          <w:rFonts w:ascii="Century Gothic" w:hAnsi="Century Gothic"/>
          <w:i/>
          <w:sz w:val="22"/>
          <w:szCs w:val="22"/>
        </w:rPr>
      </w:pPr>
      <w:r>
        <w:rPr>
          <w:rFonts w:ascii="Century Gothic" w:hAnsi="Century Gothic"/>
          <w:i/>
          <w:sz w:val="22"/>
          <w:szCs w:val="22"/>
        </w:rPr>
        <w:t>OLIVIA CHERNAIK</w:t>
      </w:r>
    </w:p>
    <w:p w14:paraId="4FD8BACD" w14:textId="15CCBCE3" w:rsidR="00CF62B4" w:rsidRPr="008E1D50" w:rsidRDefault="00CF62B4" w:rsidP="008E1D50">
      <w:pPr>
        <w:jc w:val="center"/>
        <w:rPr>
          <w:rFonts w:ascii="Century Gothic" w:hAnsi="Century Gothic"/>
          <w:i/>
          <w:sz w:val="22"/>
          <w:szCs w:val="22"/>
        </w:rPr>
      </w:pPr>
      <w:r>
        <w:rPr>
          <w:rFonts w:ascii="Century Gothic" w:hAnsi="Century Gothic"/>
          <w:i/>
          <w:sz w:val="22"/>
          <w:szCs w:val="22"/>
        </w:rPr>
        <w:t>Plaintiff-Appellant-Petitioner</w:t>
      </w:r>
    </w:p>
    <w:p w14:paraId="094E103B" w14:textId="382807D4" w:rsidR="008E1D50" w:rsidRPr="008E1D50" w:rsidRDefault="008E1D50" w:rsidP="008E1D50">
      <w:pPr>
        <w:jc w:val="center"/>
        <w:rPr>
          <w:rFonts w:ascii="Century Gothic" w:hAnsi="Century Gothic"/>
          <w:i/>
          <w:sz w:val="22"/>
          <w:szCs w:val="22"/>
        </w:rPr>
      </w:pPr>
      <w:r w:rsidRPr="008E1D50">
        <w:rPr>
          <w:rFonts w:ascii="Century Gothic" w:hAnsi="Century Gothic"/>
          <w:i/>
          <w:sz w:val="22"/>
          <w:szCs w:val="22"/>
        </w:rPr>
        <w:t>v.</w:t>
      </w:r>
    </w:p>
    <w:p w14:paraId="14105174" w14:textId="1245D266" w:rsidR="008E1D50" w:rsidRPr="008E1D50" w:rsidRDefault="00CF62B4" w:rsidP="008E1D50">
      <w:pPr>
        <w:jc w:val="center"/>
        <w:rPr>
          <w:rFonts w:ascii="Century Gothic" w:hAnsi="Century Gothic"/>
          <w:i/>
          <w:sz w:val="22"/>
          <w:szCs w:val="22"/>
        </w:rPr>
      </w:pPr>
      <w:r>
        <w:rPr>
          <w:rFonts w:ascii="Century Gothic" w:hAnsi="Century Gothic"/>
          <w:i/>
          <w:sz w:val="22"/>
          <w:szCs w:val="22"/>
        </w:rPr>
        <w:t>KATE BROWN &amp; STATE OF OREGON</w:t>
      </w:r>
    </w:p>
    <w:p w14:paraId="4A6DD4DC" w14:textId="11102B86" w:rsidR="008E1D50" w:rsidRPr="008E1D50" w:rsidRDefault="00CF62B4" w:rsidP="008E1D50">
      <w:pPr>
        <w:jc w:val="center"/>
        <w:rPr>
          <w:rFonts w:ascii="Century Gothic" w:hAnsi="Century Gothic"/>
          <w:i/>
          <w:sz w:val="22"/>
          <w:szCs w:val="22"/>
        </w:rPr>
      </w:pPr>
      <w:r>
        <w:rPr>
          <w:rFonts w:ascii="Century Gothic" w:hAnsi="Century Gothic"/>
          <w:i/>
          <w:sz w:val="22"/>
          <w:szCs w:val="22"/>
        </w:rPr>
        <w:t>Defendants-Respondents-Respondents</w:t>
      </w:r>
    </w:p>
    <w:p w14:paraId="4105D37F" w14:textId="728BDFB9" w:rsidR="00DD37B2" w:rsidRPr="008E1D50" w:rsidRDefault="00DD37B2">
      <w:pPr>
        <w:rPr>
          <w:rFonts w:ascii="Century Gothic" w:hAnsi="Century Gothic" w:cs="Arial"/>
          <w:sz w:val="22"/>
          <w:szCs w:val="22"/>
        </w:rPr>
      </w:pPr>
    </w:p>
    <w:p w14:paraId="72722584" w14:textId="65C31D88" w:rsidR="008E1D50" w:rsidRPr="00814C54" w:rsidRDefault="008E1D50" w:rsidP="008E1D50">
      <w:pPr>
        <w:jc w:val="center"/>
        <w:rPr>
          <w:rFonts w:ascii="Century Gothic" w:hAnsi="Century Gothic"/>
          <w:b/>
          <w:bCs/>
          <w:sz w:val="22"/>
          <w:szCs w:val="22"/>
        </w:rPr>
      </w:pPr>
      <w:r w:rsidRPr="00814C54">
        <w:rPr>
          <w:rFonts w:ascii="Century Gothic" w:hAnsi="Century Gothic" w:cs="Arial"/>
          <w:b/>
          <w:bCs/>
          <w:sz w:val="22"/>
          <w:szCs w:val="22"/>
        </w:rPr>
        <w:t xml:space="preserve">Supreme Court Case </w:t>
      </w:r>
      <w:r w:rsidR="00CF62B4" w:rsidRPr="00814C54">
        <w:rPr>
          <w:rFonts w:ascii="Century Gothic" w:eastAsiaTheme="minorHAnsi" w:hAnsi="Century Gothic"/>
          <w:b/>
          <w:bCs/>
          <w:sz w:val="22"/>
          <w:szCs w:val="22"/>
        </w:rPr>
        <w:t>S066564</w:t>
      </w:r>
    </w:p>
    <w:p w14:paraId="7B12BA4F" w14:textId="182616F5" w:rsidR="008E1D50" w:rsidRPr="008E1D50" w:rsidRDefault="008E1D50">
      <w:pPr>
        <w:rPr>
          <w:rFonts w:ascii="Century Gothic" w:hAnsi="Century Gothic" w:cs="Arial"/>
        </w:rPr>
      </w:pPr>
    </w:p>
    <w:p w14:paraId="6BAFFA8F" w14:textId="592C33DD" w:rsidR="003F2030" w:rsidRPr="008E1D50" w:rsidRDefault="003F2030">
      <w:pPr>
        <w:rPr>
          <w:rFonts w:ascii="Century Gothic" w:hAnsi="Century Gothic" w:cs="Arial"/>
        </w:rPr>
      </w:pPr>
    </w:p>
    <w:p w14:paraId="068E5CD9" w14:textId="745AE9DD" w:rsidR="008E1D50" w:rsidRPr="00B22AA2" w:rsidRDefault="008E1D50" w:rsidP="00B22AA2">
      <w:pPr>
        <w:pStyle w:val="ListParagraph"/>
        <w:numPr>
          <w:ilvl w:val="0"/>
          <w:numId w:val="6"/>
        </w:numPr>
        <w:rPr>
          <w:rFonts w:ascii="Century Gothic" w:hAnsi="Century Gothic" w:cs="Arial"/>
        </w:rPr>
      </w:pPr>
      <w:r w:rsidRPr="00B22AA2">
        <w:rPr>
          <w:rFonts w:ascii="Century Gothic" w:hAnsi="Century Gothic" w:cs="Arial"/>
          <w:b/>
        </w:rPr>
        <w:t>Original Trial / Facts of the Case</w:t>
      </w:r>
      <w:r w:rsidR="00835F2F">
        <w:rPr>
          <w:rFonts w:ascii="Century Gothic" w:hAnsi="Century Gothic" w:cs="Arial"/>
          <w:b/>
        </w:rPr>
        <w:t>*</w:t>
      </w:r>
      <w:r w:rsidRPr="00B22AA2">
        <w:rPr>
          <w:rFonts w:ascii="Century Gothic" w:hAnsi="Century Gothic" w:cs="Arial"/>
          <w:b/>
        </w:rPr>
        <w:t xml:space="preserve">:  </w:t>
      </w:r>
    </w:p>
    <w:p w14:paraId="5E17DB8C" w14:textId="51A7403E" w:rsidR="008E1D50" w:rsidRPr="009F71E1" w:rsidRDefault="008E1D50">
      <w:pPr>
        <w:rPr>
          <w:rFonts w:ascii="Century Gothic" w:hAnsi="Century Gothic" w:cs="Arial"/>
          <w:sz w:val="18"/>
          <w:szCs w:val="18"/>
        </w:rPr>
      </w:pPr>
    </w:p>
    <w:p w14:paraId="185862A4" w14:textId="0623F3F5" w:rsidR="00835F2F" w:rsidRPr="009F71E1" w:rsidRDefault="00835F2F">
      <w:pPr>
        <w:rPr>
          <w:rFonts w:ascii="Century Gothic" w:hAnsi="Century Gothic" w:cs="Arial"/>
          <w:sz w:val="18"/>
          <w:szCs w:val="18"/>
        </w:rPr>
      </w:pPr>
      <w:r w:rsidRPr="009F71E1">
        <w:rPr>
          <w:rFonts w:ascii="Century Gothic" w:hAnsi="Century Gothic" w:cs="Arial"/>
          <w:sz w:val="18"/>
          <w:szCs w:val="18"/>
        </w:rPr>
        <w:t xml:space="preserve">Plaintiffs sued defendants for relief related to the state’s alleged failure to take sufficient steps to protect the state’s public-trust resources from the effects of climate change. This is the second time this case has been before the Court of Appeals: the first time they reversed the trial court’s dismissal of the case, and remanded for the trial court to determine whether plaintiffs were entitled to declare that the atmosphere and other natural resources are trust resources that the state has an obligation to protect. </w:t>
      </w:r>
    </w:p>
    <w:p w14:paraId="2C52A68B" w14:textId="79CBE03C" w:rsidR="00835F2F" w:rsidRPr="009F71E1" w:rsidRDefault="00835F2F">
      <w:pPr>
        <w:rPr>
          <w:rFonts w:ascii="Century Gothic" w:hAnsi="Century Gothic" w:cs="Arial"/>
          <w:sz w:val="18"/>
          <w:szCs w:val="18"/>
        </w:rPr>
      </w:pPr>
    </w:p>
    <w:p w14:paraId="1D66516A" w14:textId="4E971CC7" w:rsidR="00835F2F" w:rsidRPr="009F71E1" w:rsidRDefault="00835F2F">
      <w:pPr>
        <w:rPr>
          <w:rFonts w:ascii="Century Gothic" w:hAnsi="Century Gothic" w:cs="Arial"/>
          <w:sz w:val="18"/>
          <w:szCs w:val="18"/>
        </w:rPr>
      </w:pPr>
      <w:r w:rsidRPr="009F71E1">
        <w:rPr>
          <w:rFonts w:ascii="Century Gothic" w:hAnsi="Century Gothic" w:cs="Arial"/>
          <w:sz w:val="18"/>
          <w:szCs w:val="18"/>
        </w:rPr>
        <w:t xml:space="preserve">The trial court ruled that </w:t>
      </w:r>
    </w:p>
    <w:p w14:paraId="1637EB8B" w14:textId="4C0CF4F3" w:rsidR="00835F2F" w:rsidRPr="009F71E1" w:rsidRDefault="00835F2F" w:rsidP="00835F2F">
      <w:pPr>
        <w:pStyle w:val="ListParagraph"/>
        <w:numPr>
          <w:ilvl w:val="0"/>
          <w:numId w:val="25"/>
        </w:numPr>
        <w:rPr>
          <w:rFonts w:ascii="Century Gothic" w:hAnsi="Century Gothic" w:cs="Arial"/>
          <w:sz w:val="18"/>
          <w:szCs w:val="18"/>
        </w:rPr>
      </w:pPr>
      <w:r w:rsidRPr="009F71E1">
        <w:rPr>
          <w:rFonts w:ascii="Century Gothic" w:hAnsi="Century Gothic" w:cs="Arial"/>
          <w:sz w:val="18"/>
          <w:szCs w:val="18"/>
        </w:rPr>
        <w:t>Only state submerged and submersible lands are resources encompassed by the public trust doctrine; and</w:t>
      </w:r>
    </w:p>
    <w:p w14:paraId="281DEE1D" w14:textId="49D6A552" w:rsidR="00835F2F" w:rsidRPr="009F71E1" w:rsidRDefault="00835F2F" w:rsidP="00835F2F">
      <w:pPr>
        <w:pStyle w:val="ListParagraph"/>
        <w:numPr>
          <w:ilvl w:val="0"/>
          <w:numId w:val="25"/>
        </w:numPr>
        <w:rPr>
          <w:rFonts w:ascii="Century Gothic" w:hAnsi="Century Gothic" w:cs="Arial"/>
          <w:sz w:val="18"/>
          <w:szCs w:val="18"/>
        </w:rPr>
      </w:pPr>
      <w:r w:rsidRPr="009F71E1">
        <w:rPr>
          <w:rFonts w:ascii="Century Gothic" w:hAnsi="Century Gothic" w:cs="Arial"/>
          <w:sz w:val="18"/>
          <w:szCs w:val="18"/>
        </w:rPr>
        <w:t>The state does not have an obligation to protect public-trust resources from the effects of climate change.</w:t>
      </w:r>
    </w:p>
    <w:p w14:paraId="4A9111DB" w14:textId="623C5F28" w:rsidR="00835F2F" w:rsidRPr="009F71E1" w:rsidRDefault="00835F2F" w:rsidP="00835F2F">
      <w:pPr>
        <w:rPr>
          <w:rFonts w:ascii="Century Gothic" w:hAnsi="Century Gothic" w:cs="Arial"/>
          <w:sz w:val="18"/>
          <w:szCs w:val="18"/>
        </w:rPr>
      </w:pPr>
    </w:p>
    <w:p w14:paraId="411B71D9" w14:textId="32B4C610" w:rsidR="00835F2F" w:rsidRPr="009F71E1" w:rsidRDefault="00835F2F" w:rsidP="00835F2F">
      <w:pPr>
        <w:rPr>
          <w:rFonts w:ascii="Century Gothic" w:hAnsi="Century Gothic" w:cs="Arial"/>
          <w:sz w:val="18"/>
          <w:szCs w:val="18"/>
        </w:rPr>
      </w:pPr>
      <w:r w:rsidRPr="009F71E1">
        <w:rPr>
          <w:rFonts w:ascii="Century Gothic" w:hAnsi="Century Gothic" w:cs="Arial"/>
          <w:sz w:val="18"/>
          <w:szCs w:val="18"/>
        </w:rPr>
        <w:t xml:space="preserve">The Appeals Court decided </w:t>
      </w:r>
      <w:r w:rsidR="00752C4D">
        <w:rPr>
          <w:rFonts w:ascii="Century Gothic" w:hAnsi="Century Gothic" w:cs="Arial"/>
          <w:sz w:val="18"/>
          <w:szCs w:val="18"/>
        </w:rPr>
        <w:t xml:space="preserve">the first time around that </w:t>
      </w:r>
      <w:r w:rsidRPr="009F71E1">
        <w:rPr>
          <w:rFonts w:ascii="Century Gothic" w:hAnsi="Century Gothic" w:cs="Arial"/>
          <w:sz w:val="18"/>
          <w:szCs w:val="18"/>
        </w:rPr>
        <w:t>the trial court made the correct conclusions but because the case had been dismissed, the Appeals Court once again remanded (sent back) the case to the trial court to make the declaratory judgement on the case (the trial court must state the above two rulings in its judgment).</w:t>
      </w:r>
    </w:p>
    <w:p w14:paraId="209C8BE7" w14:textId="30AFDDA8" w:rsidR="00835F2F" w:rsidRPr="009F71E1" w:rsidRDefault="00835F2F" w:rsidP="00835F2F">
      <w:pPr>
        <w:rPr>
          <w:rFonts w:ascii="Century Gothic" w:hAnsi="Century Gothic" w:cs="Arial"/>
          <w:sz w:val="18"/>
          <w:szCs w:val="18"/>
        </w:rPr>
      </w:pPr>
    </w:p>
    <w:p w14:paraId="211A1A97" w14:textId="41C2D075" w:rsidR="009F71E1" w:rsidRDefault="009F71E1" w:rsidP="009F71E1">
      <w:pPr>
        <w:rPr>
          <w:rFonts w:ascii="Century Gothic" w:hAnsi="Century Gothic" w:cs="Arial"/>
          <w:sz w:val="18"/>
          <w:szCs w:val="18"/>
        </w:rPr>
      </w:pPr>
      <w:r w:rsidRPr="009F71E1">
        <w:rPr>
          <w:rFonts w:ascii="Century Gothic" w:hAnsi="Century Gothic" w:cs="Arial"/>
          <w:sz w:val="18"/>
          <w:szCs w:val="18"/>
        </w:rPr>
        <w:t xml:space="preserve">The plaintiffs had amended their complaint </w:t>
      </w:r>
      <w:r>
        <w:rPr>
          <w:rFonts w:ascii="Century Gothic" w:hAnsi="Century Gothic" w:cs="Arial"/>
          <w:sz w:val="18"/>
          <w:szCs w:val="18"/>
        </w:rPr>
        <w:t>and then asked the trial court to make a summary judgement on the following 4 declarations:</w:t>
      </w:r>
    </w:p>
    <w:p w14:paraId="69C3DFD5" w14:textId="1A6EEB96" w:rsidR="009F71E1" w:rsidRDefault="009F71E1" w:rsidP="009F71E1">
      <w:pPr>
        <w:rPr>
          <w:rFonts w:ascii="Century Gothic" w:hAnsi="Century Gothic" w:cs="Arial"/>
          <w:sz w:val="18"/>
          <w:szCs w:val="18"/>
        </w:rPr>
      </w:pPr>
    </w:p>
    <w:p w14:paraId="6980DBE1" w14:textId="77777777" w:rsidR="009F71E1" w:rsidRDefault="009F71E1" w:rsidP="009F71E1">
      <w:pPr>
        <w:ind w:left="810" w:right="576"/>
        <w:rPr>
          <w:rFonts w:ascii="Century Gothic" w:hAnsi="Century Gothic"/>
          <w:sz w:val="18"/>
          <w:szCs w:val="18"/>
        </w:rPr>
      </w:pPr>
      <w:r w:rsidRPr="009F71E1">
        <w:rPr>
          <w:rFonts w:ascii="Century Gothic" w:hAnsi="Century Gothic"/>
          <w:sz w:val="18"/>
          <w:szCs w:val="18"/>
        </w:rPr>
        <w:t xml:space="preserve">1. A declaration of law that the State of Oregon, as a trustee and sovereign entity, has a fiduciary obligation to manage the atmosphere, water resources, navigable waters, submerged and submersible lands, shorelands and coastal areas, wildlife and fish as public trust assets, and to protect them from substantial impairment caused by the emissions of greenhouse gases in, or within the control of, the State of Oregon and the resulting adverse effects of climate change and ocean acidification; </w:t>
      </w:r>
    </w:p>
    <w:p w14:paraId="4517B547" w14:textId="77777777" w:rsidR="009F71E1" w:rsidRDefault="009F71E1" w:rsidP="009F71E1">
      <w:pPr>
        <w:ind w:left="810" w:right="576"/>
        <w:rPr>
          <w:rFonts w:ascii="Century Gothic" w:hAnsi="Century Gothic"/>
          <w:sz w:val="18"/>
          <w:szCs w:val="18"/>
        </w:rPr>
      </w:pPr>
    </w:p>
    <w:p w14:paraId="025CB5D3" w14:textId="77777777" w:rsidR="009F71E1" w:rsidRDefault="009F71E1" w:rsidP="009F71E1">
      <w:pPr>
        <w:ind w:left="810" w:right="576"/>
        <w:rPr>
          <w:rFonts w:ascii="Century Gothic" w:hAnsi="Century Gothic"/>
          <w:sz w:val="18"/>
          <w:szCs w:val="18"/>
        </w:rPr>
      </w:pPr>
      <w:r w:rsidRPr="009F71E1">
        <w:rPr>
          <w:rFonts w:ascii="Century Gothic" w:hAnsi="Century Gothic"/>
          <w:sz w:val="18"/>
          <w:szCs w:val="18"/>
        </w:rPr>
        <w:t xml:space="preserve">2. A declaration that atmospheric concentrations of carbon dioxide (CO2) exceeding 350 parts per million (ppm) constitutes substantial impairment to the atmosphere and thereby the other public trust assets; </w:t>
      </w:r>
    </w:p>
    <w:p w14:paraId="631F290D" w14:textId="77777777" w:rsidR="009F71E1" w:rsidRDefault="009F71E1" w:rsidP="009F71E1">
      <w:pPr>
        <w:ind w:left="810" w:right="576"/>
        <w:rPr>
          <w:rFonts w:ascii="Century Gothic" w:hAnsi="Century Gothic"/>
          <w:sz w:val="18"/>
          <w:szCs w:val="18"/>
        </w:rPr>
      </w:pPr>
    </w:p>
    <w:p w14:paraId="04B97C5D" w14:textId="77777777" w:rsidR="009F71E1" w:rsidRDefault="009F71E1" w:rsidP="009F71E1">
      <w:pPr>
        <w:ind w:left="810" w:right="576"/>
        <w:rPr>
          <w:rFonts w:ascii="Century Gothic" w:hAnsi="Century Gothic"/>
          <w:sz w:val="18"/>
          <w:szCs w:val="18"/>
        </w:rPr>
      </w:pPr>
      <w:r w:rsidRPr="009F71E1">
        <w:rPr>
          <w:rFonts w:ascii="Century Gothic" w:hAnsi="Century Gothic"/>
          <w:sz w:val="18"/>
          <w:szCs w:val="18"/>
        </w:rPr>
        <w:t xml:space="preserve">3. A declaration that to protect these public trust assets from substantial impairment, Oregon must contribute to global reduction in emissions of CO2 necessary to return atmospheric concentrations of carbon dioxide to 350 ppm by the year 2100; and </w:t>
      </w:r>
    </w:p>
    <w:p w14:paraId="11529875" w14:textId="77777777" w:rsidR="009F71E1" w:rsidRDefault="009F71E1" w:rsidP="009F71E1">
      <w:pPr>
        <w:ind w:left="810" w:right="576"/>
        <w:rPr>
          <w:rFonts w:ascii="Century Gothic" w:hAnsi="Century Gothic"/>
          <w:sz w:val="18"/>
          <w:szCs w:val="18"/>
        </w:rPr>
      </w:pPr>
    </w:p>
    <w:p w14:paraId="5DE46563" w14:textId="5AE4A9CA" w:rsidR="009F71E1" w:rsidRPr="009F71E1" w:rsidRDefault="009F71E1" w:rsidP="009F71E1">
      <w:pPr>
        <w:ind w:left="810" w:right="576"/>
        <w:rPr>
          <w:rFonts w:ascii="Century Gothic" w:hAnsi="Century Gothic"/>
          <w:sz w:val="18"/>
          <w:szCs w:val="18"/>
        </w:rPr>
      </w:pPr>
      <w:r w:rsidRPr="009F71E1">
        <w:rPr>
          <w:rFonts w:ascii="Century Gothic" w:hAnsi="Century Gothic"/>
          <w:sz w:val="18"/>
          <w:szCs w:val="18"/>
        </w:rPr>
        <w:t xml:space="preserve">4. A declaration that Defendants have failed, and are failing, to uphold their fiduciary obligations to protect these trust assets from substantial impairment by not adequately reducing and limiting emissions of carbon dioxide and other greenhouse gases in, or within the control of, the State of Oregon.”3 Plaintiffs specifically did not seek a </w:t>
      </w:r>
      <w:proofErr w:type="spellStart"/>
      <w:r w:rsidRPr="009F71E1">
        <w:rPr>
          <w:rFonts w:ascii="Century Gothic" w:hAnsi="Century Gothic"/>
          <w:sz w:val="18"/>
          <w:szCs w:val="18"/>
        </w:rPr>
        <w:t>rul</w:t>
      </w:r>
      <w:proofErr w:type="spellEnd"/>
    </w:p>
    <w:p w14:paraId="2C50A0FA" w14:textId="2C3C553D" w:rsidR="009F71E1" w:rsidRPr="009F71E1" w:rsidRDefault="009F71E1" w:rsidP="009F71E1">
      <w:pPr>
        <w:rPr>
          <w:rFonts w:ascii="Century Gothic" w:hAnsi="Century Gothic" w:cs="Arial"/>
          <w:sz w:val="18"/>
          <w:szCs w:val="18"/>
        </w:rPr>
      </w:pPr>
    </w:p>
    <w:p w14:paraId="219EC467" w14:textId="62E16295" w:rsidR="009F71E1" w:rsidRPr="009F71E1" w:rsidRDefault="009F71E1" w:rsidP="009F71E1">
      <w:pPr>
        <w:rPr>
          <w:rFonts w:ascii="Century Gothic" w:hAnsi="Century Gothic" w:cs="Arial"/>
          <w:sz w:val="18"/>
          <w:szCs w:val="18"/>
        </w:rPr>
      </w:pPr>
    </w:p>
    <w:p w14:paraId="7B8FCCAF" w14:textId="56AC5E9E" w:rsidR="009F71E1" w:rsidRPr="009F71E1" w:rsidRDefault="009F71E1" w:rsidP="009F71E1">
      <w:pPr>
        <w:rPr>
          <w:rFonts w:ascii="Century Gothic" w:hAnsi="Century Gothic" w:cs="Arial"/>
          <w:sz w:val="18"/>
          <w:szCs w:val="18"/>
        </w:rPr>
      </w:pPr>
    </w:p>
    <w:p w14:paraId="2DB6B5C8" w14:textId="55688016" w:rsidR="009F71E1" w:rsidRDefault="009F71E1" w:rsidP="009F71E1">
      <w:pPr>
        <w:rPr>
          <w:rFonts w:ascii="Century Gothic" w:hAnsi="Century Gothic" w:cs="Arial"/>
          <w:sz w:val="18"/>
          <w:szCs w:val="18"/>
        </w:rPr>
      </w:pPr>
    </w:p>
    <w:p w14:paraId="2506C24E" w14:textId="0F58FCE9" w:rsidR="009F71E1" w:rsidRDefault="009F71E1" w:rsidP="009F71E1">
      <w:pPr>
        <w:rPr>
          <w:rFonts w:ascii="Century Gothic" w:hAnsi="Century Gothic" w:cs="Arial"/>
          <w:sz w:val="18"/>
          <w:szCs w:val="18"/>
        </w:rPr>
      </w:pPr>
    </w:p>
    <w:p w14:paraId="63EB3090" w14:textId="50B2EDD0" w:rsidR="009F71E1" w:rsidRDefault="009F71E1" w:rsidP="009F71E1">
      <w:pPr>
        <w:rPr>
          <w:rFonts w:ascii="Century Gothic" w:hAnsi="Century Gothic" w:cs="Arial"/>
          <w:sz w:val="18"/>
          <w:szCs w:val="18"/>
        </w:rPr>
      </w:pPr>
    </w:p>
    <w:p w14:paraId="7B5A14CF" w14:textId="03C2AF24" w:rsidR="009F71E1" w:rsidRPr="009F71E1" w:rsidRDefault="009F71E1" w:rsidP="009F71E1">
      <w:pPr>
        <w:rPr>
          <w:rFonts w:ascii="Century Gothic" w:hAnsi="Century Gothic" w:cs="Arial"/>
          <w:sz w:val="18"/>
          <w:szCs w:val="18"/>
        </w:rPr>
      </w:pPr>
      <w:r w:rsidRPr="009F71E1">
        <w:rPr>
          <w:rFonts w:ascii="Century Gothic" w:hAnsi="Century Gothic" w:cs="Arial"/>
          <w:sz w:val="18"/>
          <w:szCs w:val="18"/>
        </w:rPr>
        <w:lastRenderedPageBreak/>
        <w:t>The defendants then asked the trial to dismiss the plaintiff’s amended complaint and rule that:</w:t>
      </w:r>
    </w:p>
    <w:p w14:paraId="5EC5A1BD" w14:textId="5EDAA933" w:rsidR="009F71E1" w:rsidRPr="009F71E1" w:rsidRDefault="009F71E1" w:rsidP="009F71E1">
      <w:pPr>
        <w:rPr>
          <w:rFonts w:ascii="Century Gothic" w:hAnsi="Century Gothic" w:cs="Arial"/>
          <w:sz w:val="18"/>
          <w:szCs w:val="18"/>
        </w:rPr>
      </w:pPr>
    </w:p>
    <w:p w14:paraId="54EA0A80" w14:textId="77777777" w:rsidR="009F71E1" w:rsidRDefault="009F71E1" w:rsidP="009F71E1">
      <w:pPr>
        <w:ind w:left="720" w:right="576"/>
        <w:rPr>
          <w:rFonts w:ascii="Century Gothic" w:hAnsi="Century Gothic"/>
          <w:sz w:val="18"/>
          <w:szCs w:val="18"/>
        </w:rPr>
      </w:pPr>
      <w:r w:rsidRPr="009F71E1">
        <w:rPr>
          <w:rFonts w:ascii="Century Gothic" w:hAnsi="Century Gothic"/>
          <w:sz w:val="18"/>
          <w:szCs w:val="18"/>
        </w:rPr>
        <w:t xml:space="preserve">1) The common law public trust doctrine does not extend to the atmosphere. </w:t>
      </w:r>
    </w:p>
    <w:p w14:paraId="262F8DD1" w14:textId="77777777" w:rsidR="009F71E1" w:rsidRDefault="009F71E1" w:rsidP="009F71E1">
      <w:pPr>
        <w:ind w:left="720" w:right="576"/>
        <w:rPr>
          <w:rFonts w:ascii="Century Gothic" w:hAnsi="Century Gothic"/>
          <w:sz w:val="18"/>
          <w:szCs w:val="18"/>
        </w:rPr>
      </w:pPr>
    </w:p>
    <w:p w14:paraId="4CD598C7" w14:textId="77777777" w:rsidR="009F71E1" w:rsidRDefault="009F71E1" w:rsidP="009F71E1">
      <w:pPr>
        <w:ind w:left="720" w:right="576"/>
        <w:rPr>
          <w:rFonts w:ascii="Century Gothic" w:hAnsi="Century Gothic"/>
          <w:sz w:val="18"/>
          <w:szCs w:val="18"/>
        </w:rPr>
      </w:pPr>
      <w:r w:rsidRPr="009F71E1">
        <w:rPr>
          <w:rFonts w:ascii="Century Gothic" w:hAnsi="Century Gothic"/>
          <w:sz w:val="18"/>
          <w:szCs w:val="18"/>
        </w:rPr>
        <w:t xml:space="preserve">2) The common law public trust doctrine does not impose the particular affirmative actions associated with traditional legal trusts (i.e., fiduciary obligations or duties). Instead, Oregon courts have applied it only as a restraint on alienation. </w:t>
      </w:r>
    </w:p>
    <w:p w14:paraId="3B6B8502" w14:textId="77777777" w:rsidR="009F71E1" w:rsidRDefault="009F71E1" w:rsidP="009F71E1">
      <w:pPr>
        <w:ind w:left="720" w:right="576"/>
        <w:rPr>
          <w:rFonts w:ascii="Century Gothic" w:hAnsi="Century Gothic"/>
          <w:sz w:val="18"/>
          <w:szCs w:val="18"/>
        </w:rPr>
      </w:pPr>
    </w:p>
    <w:p w14:paraId="33E756C6" w14:textId="3952E016" w:rsidR="009F71E1" w:rsidRDefault="009F71E1" w:rsidP="009F71E1">
      <w:pPr>
        <w:ind w:left="720" w:right="576"/>
        <w:rPr>
          <w:rFonts w:ascii="Century Gothic" w:hAnsi="Century Gothic"/>
          <w:sz w:val="18"/>
          <w:szCs w:val="18"/>
        </w:rPr>
      </w:pPr>
      <w:r w:rsidRPr="009F71E1">
        <w:rPr>
          <w:rFonts w:ascii="Century Gothic" w:hAnsi="Century Gothic"/>
          <w:sz w:val="18"/>
          <w:szCs w:val="18"/>
        </w:rPr>
        <w:t xml:space="preserve">3) Because there are no fiduciary duties associated with the common law public trust doctrine, any declaratory or injunctive relief based on an alleged violation of such duties must be denied. </w:t>
      </w:r>
    </w:p>
    <w:p w14:paraId="7F7822DB" w14:textId="77777777" w:rsidR="009F71E1" w:rsidRDefault="009F71E1" w:rsidP="009F71E1">
      <w:pPr>
        <w:ind w:left="720" w:right="576"/>
        <w:rPr>
          <w:rFonts w:ascii="Century Gothic" w:hAnsi="Century Gothic"/>
          <w:sz w:val="18"/>
          <w:szCs w:val="18"/>
        </w:rPr>
      </w:pPr>
    </w:p>
    <w:p w14:paraId="289D4DE0" w14:textId="77777777" w:rsidR="009F71E1" w:rsidRDefault="009F71E1" w:rsidP="009F71E1">
      <w:pPr>
        <w:ind w:left="720" w:right="576"/>
        <w:rPr>
          <w:rFonts w:ascii="Century Gothic" w:hAnsi="Century Gothic"/>
          <w:sz w:val="18"/>
          <w:szCs w:val="18"/>
        </w:rPr>
      </w:pPr>
      <w:r w:rsidRPr="009F71E1">
        <w:rPr>
          <w:rFonts w:ascii="Century Gothic" w:hAnsi="Century Gothic"/>
          <w:sz w:val="18"/>
          <w:szCs w:val="18"/>
        </w:rPr>
        <w:t xml:space="preserve">4) Even if this Court recognizes new fiduciary duties under the public trust doctrine, injunctive relief is not warranted, because the Court must presume that the State will comply with the new law as announced, and therefore, that no future violation of law is likely. </w:t>
      </w:r>
    </w:p>
    <w:p w14:paraId="52F59447" w14:textId="77777777" w:rsidR="009F71E1" w:rsidRDefault="009F71E1" w:rsidP="009F71E1">
      <w:pPr>
        <w:ind w:left="720" w:right="576"/>
        <w:rPr>
          <w:rFonts w:ascii="Century Gothic" w:hAnsi="Century Gothic"/>
          <w:sz w:val="18"/>
          <w:szCs w:val="18"/>
        </w:rPr>
      </w:pPr>
    </w:p>
    <w:p w14:paraId="60ACEDDB" w14:textId="77777777" w:rsidR="009F71E1" w:rsidRDefault="009F71E1" w:rsidP="009F71E1">
      <w:pPr>
        <w:ind w:left="720" w:right="576"/>
        <w:rPr>
          <w:rFonts w:ascii="Century Gothic" w:hAnsi="Century Gothic"/>
          <w:sz w:val="18"/>
          <w:szCs w:val="18"/>
        </w:rPr>
      </w:pPr>
      <w:r w:rsidRPr="009F71E1">
        <w:rPr>
          <w:rFonts w:ascii="Century Gothic" w:hAnsi="Century Gothic"/>
          <w:sz w:val="18"/>
          <w:szCs w:val="18"/>
        </w:rPr>
        <w:t xml:space="preserve">5) This Court is without authority to grant injunctive or further relief, because doing so would violate the principle of separation of powers. </w:t>
      </w:r>
    </w:p>
    <w:p w14:paraId="2B3B478B" w14:textId="77777777" w:rsidR="009F71E1" w:rsidRDefault="009F71E1" w:rsidP="009F71E1">
      <w:pPr>
        <w:ind w:left="720" w:right="576"/>
        <w:rPr>
          <w:rFonts w:ascii="Century Gothic" w:hAnsi="Century Gothic"/>
          <w:sz w:val="18"/>
          <w:szCs w:val="18"/>
        </w:rPr>
      </w:pPr>
    </w:p>
    <w:p w14:paraId="2C97E647" w14:textId="652DDB19" w:rsidR="009F71E1" w:rsidRPr="009F71E1" w:rsidRDefault="009F71E1" w:rsidP="009F71E1">
      <w:pPr>
        <w:ind w:left="720" w:right="576"/>
        <w:rPr>
          <w:rFonts w:ascii="Century Gothic" w:hAnsi="Century Gothic"/>
          <w:sz w:val="18"/>
          <w:szCs w:val="18"/>
        </w:rPr>
      </w:pPr>
      <w:r w:rsidRPr="009F71E1">
        <w:rPr>
          <w:rFonts w:ascii="Century Gothic" w:hAnsi="Century Gothic"/>
          <w:sz w:val="18"/>
          <w:szCs w:val="18"/>
        </w:rPr>
        <w:t xml:space="preserve">6) Finally, this Court lacks authority to grant injunctive relief, because such relief would cause the Court to decide a political question that our constitutional system entrusts to the other branches of government.” The trial court granted the state’s motion </w:t>
      </w:r>
    </w:p>
    <w:p w14:paraId="2C2D4A4A" w14:textId="77777777" w:rsidR="009F71E1" w:rsidRPr="00752C4D" w:rsidRDefault="009F71E1" w:rsidP="009F71E1">
      <w:pPr>
        <w:ind w:left="720" w:right="576"/>
        <w:rPr>
          <w:rFonts w:ascii="Century Gothic" w:hAnsi="Century Gothic" w:cs="Arial"/>
          <w:bCs/>
          <w:sz w:val="18"/>
          <w:szCs w:val="18"/>
        </w:rPr>
      </w:pPr>
    </w:p>
    <w:p w14:paraId="46AC84E4" w14:textId="20380A1A" w:rsidR="009F71E1" w:rsidRPr="00752C4D" w:rsidRDefault="009F71E1" w:rsidP="009F71E1">
      <w:pPr>
        <w:rPr>
          <w:rFonts w:ascii="Century Gothic" w:hAnsi="Century Gothic"/>
          <w:bCs/>
          <w:color w:val="000000"/>
          <w:sz w:val="18"/>
          <w:szCs w:val="18"/>
        </w:rPr>
      </w:pPr>
      <w:r w:rsidRPr="00752C4D">
        <w:rPr>
          <w:rFonts w:ascii="Century Gothic" w:hAnsi="Century Gothic"/>
          <w:bCs/>
          <w:color w:val="000000"/>
          <w:sz w:val="18"/>
          <w:szCs w:val="18"/>
        </w:rPr>
        <w:t>The trial court granted the state’s motion and dismissed the case.</w:t>
      </w:r>
    </w:p>
    <w:p w14:paraId="20E8396D" w14:textId="07EFC3FF" w:rsidR="009F71E1" w:rsidRPr="00752C4D" w:rsidRDefault="009F71E1" w:rsidP="009F71E1">
      <w:pPr>
        <w:rPr>
          <w:rFonts w:ascii="Century Gothic" w:hAnsi="Century Gothic"/>
          <w:bCs/>
          <w:color w:val="000000"/>
          <w:sz w:val="18"/>
          <w:szCs w:val="18"/>
        </w:rPr>
      </w:pPr>
    </w:p>
    <w:p w14:paraId="143EC65C" w14:textId="79B0B4E9" w:rsidR="009F71E1" w:rsidRPr="00752C4D" w:rsidRDefault="009F71E1" w:rsidP="009F71E1">
      <w:pPr>
        <w:rPr>
          <w:rFonts w:ascii="Century Gothic" w:hAnsi="Century Gothic"/>
          <w:bCs/>
          <w:color w:val="000000"/>
          <w:sz w:val="18"/>
          <w:szCs w:val="18"/>
        </w:rPr>
      </w:pPr>
      <w:r w:rsidRPr="00752C4D">
        <w:rPr>
          <w:rFonts w:ascii="Century Gothic" w:hAnsi="Century Gothic"/>
          <w:bCs/>
          <w:color w:val="000000"/>
          <w:sz w:val="18"/>
          <w:szCs w:val="18"/>
        </w:rPr>
        <w:t>On appeal, plaintiffs argue that the court erred by concluding the public-trust doctrine applies only to submerged and submersible lands, and that the court was wrong to conclude that the state doesn’t have an obligation to protect trust resources from climate changed. They also argue that the trial court erred in not reaching the question of whether the state has upheld its duty to protect public trust resources from “substantial impairment due to climate change.”</w:t>
      </w:r>
    </w:p>
    <w:p w14:paraId="0B194D5A" w14:textId="64B92F2A" w:rsidR="009F71E1" w:rsidRPr="00752C4D" w:rsidRDefault="009F71E1" w:rsidP="009F71E1">
      <w:pPr>
        <w:rPr>
          <w:rFonts w:ascii="Century Gothic" w:hAnsi="Century Gothic"/>
          <w:bCs/>
          <w:color w:val="000000"/>
          <w:sz w:val="18"/>
          <w:szCs w:val="18"/>
        </w:rPr>
      </w:pPr>
    </w:p>
    <w:p w14:paraId="4FD8BBE4" w14:textId="77777777" w:rsidR="00CF62B4" w:rsidRPr="00752C4D" w:rsidRDefault="00CF62B4" w:rsidP="008E1D50">
      <w:pPr>
        <w:pStyle w:val="NormalWeb"/>
        <w:shd w:val="clear" w:color="auto" w:fill="FFFFFF"/>
        <w:spacing w:before="0" w:beforeAutospacing="0" w:after="225" w:afterAutospacing="0"/>
        <w:rPr>
          <w:rFonts w:ascii="Century Gothic" w:hAnsi="Century Gothic"/>
          <w:b/>
          <w:i/>
          <w:iCs/>
          <w:color w:val="000000"/>
          <w:sz w:val="18"/>
          <w:szCs w:val="18"/>
        </w:rPr>
      </w:pPr>
    </w:p>
    <w:p w14:paraId="2E79F3E1" w14:textId="5C1F32E5" w:rsidR="00CF62B4" w:rsidRDefault="00835F2F" w:rsidP="008E1D50">
      <w:pPr>
        <w:pStyle w:val="NormalWeb"/>
        <w:shd w:val="clear" w:color="auto" w:fill="FFFFFF"/>
        <w:spacing w:before="0" w:beforeAutospacing="0" w:after="225" w:afterAutospacing="0"/>
        <w:rPr>
          <w:rFonts w:ascii="Century Gothic" w:hAnsi="Century Gothic"/>
          <w:bCs/>
          <w:i/>
          <w:iCs/>
          <w:color w:val="000000"/>
          <w:sz w:val="18"/>
          <w:szCs w:val="18"/>
        </w:rPr>
      </w:pPr>
      <w:r w:rsidRPr="00752C4D">
        <w:rPr>
          <w:rFonts w:ascii="Century Gothic" w:hAnsi="Century Gothic"/>
          <w:bCs/>
          <w:i/>
          <w:iCs/>
          <w:color w:val="000000"/>
          <w:sz w:val="18"/>
          <w:szCs w:val="18"/>
        </w:rPr>
        <w:t>*summarized from the Court of Appeals Opinion</w:t>
      </w:r>
    </w:p>
    <w:p w14:paraId="33F0684A" w14:textId="77777777" w:rsidR="00752C4D" w:rsidRPr="00752C4D" w:rsidRDefault="00752C4D" w:rsidP="008E1D50">
      <w:pPr>
        <w:pStyle w:val="NormalWeb"/>
        <w:shd w:val="clear" w:color="auto" w:fill="FFFFFF"/>
        <w:spacing w:before="0" w:beforeAutospacing="0" w:after="225" w:afterAutospacing="0"/>
        <w:rPr>
          <w:rFonts w:ascii="Century Gothic" w:hAnsi="Century Gothic"/>
          <w:bCs/>
          <w:i/>
          <w:iCs/>
          <w:color w:val="000000"/>
          <w:sz w:val="18"/>
          <w:szCs w:val="18"/>
        </w:rPr>
      </w:pPr>
      <w:bookmarkStart w:id="0" w:name="_GoBack"/>
      <w:bookmarkEnd w:id="0"/>
    </w:p>
    <w:p w14:paraId="4006748A" w14:textId="17ECC991" w:rsidR="00467C2E" w:rsidRPr="00CF62B4" w:rsidRDefault="00467C2E" w:rsidP="00CF62B4">
      <w:pPr>
        <w:pStyle w:val="NormalWeb"/>
        <w:numPr>
          <w:ilvl w:val="0"/>
          <w:numId w:val="6"/>
        </w:numPr>
        <w:shd w:val="clear" w:color="auto" w:fill="FFFFFF"/>
        <w:spacing w:before="0" w:beforeAutospacing="0" w:after="225" w:afterAutospacing="0"/>
        <w:rPr>
          <w:rFonts w:ascii="Century Gothic" w:hAnsi="Century Gothic"/>
          <w:b/>
          <w:color w:val="000000"/>
          <w:sz w:val="22"/>
          <w:szCs w:val="22"/>
        </w:rPr>
      </w:pPr>
      <w:r w:rsidRPr="00CF62B4">
        <w:rPr>
          <w:rFonts w:ascii="Century Gothic" w:hAnsi="Century Gothic"/>
          <w:b/>
          <w:color w:val="000000"/>
          <w:sz w:val="22"/>
          <w:szCs w:val="22"/>
        </w:rPr>
        <w:t xml:space="preserve">Oregon Court of Appeals: </w:t>
      </w:r>
      <w:r w:rsidR="00087B9E" w:rsidRPr="00CF62B4">
        <w:rPr>
          <w:rFonts w:ascii="Century Gothic" w:hAnsi="Century Gothic"/>
          <w:b/>
          <w:color w:val="000000"/>
          <w:sz w:val="22"/>
          <w:szCs w:val="22"/>
        </w:rPr>
        <w:t xml:space="preserve">Decided </w:t>
      </w:r>
      <w:r w:rsidR="00752C4D">
        <w:rPr>
          <w:rFonts w:ascii="Century Gothic" w:hAnsi="Century Gothic"/>
          <w:b/>
          <w:color w:val="000000"/>
          <w:sz w:val="22"/>
          <w:szCs w:val="22"/>
        </w:rPr>
        <w:t>January 9, 2019</w:t>
      </w:r>
    </w:p>
    <w:p w14:paraId="34EAB9EA" w14:textId="44EEB44F" w:rsidR="00E25639" w:rsidRDefault="00752C4D" w:rsidP="00E25639">
      <w:pPr>
        <w:ind w:right="1476"/>
        <w:rPr>
          <w:rFonts w:ascii="Century Gothic" w:hAnsi="Century Gothic"/>
          <w:iCs/>
          <w:color w:val="000000"/>
          <w:sz w:val="18"/>
          <w:szCs w:val="18"/>
          <w:shd w:val="clear" w:color="auto" w:fill="FFFFFF"/>
        </w:rPr>
      </w:pPr>
      <w:r>
        <w:rPr>
          <w:rFonts w:ascii="Century Gothic" w:hAnsi="Century Gothic"/>
          <w:iCs/>
          <w:color w:val="000000"/>
          <w:sz w:val="18"/>
          <w:szCs w:val="18"/>
          <w:shd w:val="clear" w:color="auto" w:fill="FFFFFF"/>
        </w:rPr>
        <w:t xml:space="preserve">The Appeals Court began its opinion by discussing the history of Oregon’s public-trust doctrine. Briefly, upon admittance to the union, Oregon obtained title to the submerged and submersible land underlying “title-navigable” water because it now had “state sovereignty.” Later it was decided by Oregon courts that no matter if title of submerged and submersible lands is in private hands, the state still has the power to intervene on behalf of the public interest. When they decide cases about public-trust doctrine, Oregon courts usually focus on the extent to which the state has the power to intervene in navigable waterways to protect the public uses of those waterways. </w:t>
      </w:r>
    </w:p>
    <w:p w14:paraId="14882507" w14:textId="4601275A" w:rsidR="00752C4D" w:rsidRDefault="00752C4D" w:rsidP="00E25639">
      <w:pPr>
        <w:ind w:right="1476"/>
        <w:rPr>
          <w:rFonts w:ascii="Century Gothic" w:hAnsi="Century Gothic"/>
          <w:iCs/>
          <w:color w:val="000000"/>
          <w:sz w:val="18"/>
          <w:szCs w:val="18"/>
          <w:shd w:val="clear" w:color="auto" w:fill="FFFFFF"/>
        </w:rPr>
      </w:pPr>
    </w:p>
    <w:p w14:paraId="61536382" w14:textId="77777777" w:rsidR="00752C4D" w:rsidRDefault="00752C4D" w:rsidP="00E25639">
      <w:pPr>
        <w:ind w:right="1476"/>
        <w:rPr>
          <w:rFonts w:ascii="Century Gothic" w:hAnsi="Century Gothic"/>
          <w:iCs/>
          <w:color w:val="000000"/>
          <w:sz w:val="18"/>
          <w:szCs w:val="18"/>
          <w:shd w:val="clear" w:color="auto" w:fill="FFFFFF"/>
        </w:rPr>
      </w:pPr>
      <w:r>
        <w:rPr>
          <w:rFonts w:ascii="Century Gothic" w:hAnsi="Century Gothic"/>
          <w:iCs/>
          <w:color w:val="000000"/>
          <w:sz w:val="18"/>
          <w:szCs w:val="18"/>
          <w:shd w:val="clear" w:color="auto" w:fill="FFFFFF"/>
        </w:rPr>
        <w:t>The Appeals Court then concludes that the plaintiffs argument that the public-trust doctrine applies to more than just submerged and submersible land (waterways) is not essential for their decision, the court says that their opinion will refer to “public-trust resources” in the abstract, but won’t specific what that includes.</w:t>
      </w:r>
    </w:p>
    <w:p w14:paraId="1AA87217" w14:textId="77777777" w:rsidR="00752C4D" w:rsidRDefault="00752C4D" w:rsidP="00E25639">
      <w:pPr>
        <w:ind w:right="1476"/>
        <w:rPr>
          <w:rFonts w:ascii="Century Gothic" w:hAnsi="Century Gothic"/>
          <w:iCs/>
          <w:color w:val="000000"/>
          <w:sz w:val="18"/>
          <w:szCs w:val="18"/>
          <w:shd w:val="clear" w:color="auto" w:fill="FFFFFF"/>
        </w:rPr>
      </w:pPr>
    </w:p>
    <w:p w14:paraId="12C53E5A" w14:textId="3EADF7F4" w:rsidR="00752C4D" w:rsidRDefault="00752C4D" w:rsidP="00752C4D">
      <w:pPr>
        <w:rPr>
          <w:rFonts w:ascii="Century Gothic" w:hAnsi="Century Gothic"/>
          <w:sz w:val="18"/>
          <w:szCs w:val="18"/>
        </w:rPr>
      </w:pPr>
      <w:r>
        <w:rPr>
          <w:rFonts w:ascii="Century Gothic" w:hAnsi="Century Gothic"/>
          <w:iCs/>
          <w:color w:val="000000"/>
          <w:sz w:val="18"/>
          <w:szCs w:val="18"/>
          <w:shd w:val="clear" w:color="auto" w:fill="FFFFFF"/>
        </w:rPr>
        <w:t>Next, the Court determined that Oregon’s common law public-trust doctrine is not a legally binding obligation for the state. “</w:t>
      </w:r>
      <w:r w:rsidRPr="00752C4D">
        <w:rPr>
          <w:rFonts w:ascii="Century Gothic" w:hAnsi="Century Gothic"/>
          <w:sz w:val="18"/>
          <w:szCs w:val="18"/>
        </w:rPr>
        <w:t>Rather, the public-trust doctrine uses the word “trust” as an imperfect metaphor to capture the idea that the state is restrained from substantially impairing the common-law public right to use public</w:t>
      </w:r>
      <w:r w:rsidR="009A1605">
        <w:rPr>
          <w:rFonts w:ascii="Century Gothic" w:hAnsi="Century Gothic"/>
          <w:sz w:val="18"/>
          <w:szCs w:val="18"/>
        </w:rPr>
        <w:t xml:space="preserve"> </w:t>
      </w:r>
      <w:r w:rsidRPr="00752C4D">
        <w:rPr>
          <w:rFonts w:ascii="Century Gothic" w:hAnsi="Century Gothic"/>
          <w:sz w:val="18"/>
          <w:szCs w:val="18"/>
        </w:rPr>
        <w:t>trust resources for certain purposes</w:t>
      </w:r>
      <w:r>
        <w:rPr>
          <w:rFonts w:ascii="Century Gothic" w:hAnsi="Century Gothic"/>
          <w:sz w:val="18"/>
          <w:szCs w:val="18"/>
        </w:rPr>
        <w:t>.”</w:t>
      </w:r>
    </w:p>
    <w:p w14:paraId="1E596FAA" w14:textId="681D9D4E" w:rsidR="00752C4D" w:rsidRDefault="00752C4D" w:rsidP="00752C4D">
      <w:pPr>
        <w:rPr>
          <w:rFonts w:ascii="Century Gothic" w:hAnsi="Century Gothic"/>
          <w:sz w:val="18"/>
          <w:szCs w:val="18"/>
        </w:rPr>
      </w:pPr>
    </w:p>
    <w:p w14:paraId="53289D4A" w14:textId="3EF3C8EB" w:rsidR="00752C4D" w:rsidRPr="00752C4D" w:rsidRDefault="00752C4D" w:rsidP="00752C4D">
      <w:pPr>
        <w:rPr>
          <w:rFonts w:ascii="Century Gothic" w:hAnsi="Century Gothic"/>
          <w:sz w:val="18"/>
          <w:szCs w:val="18"/>
        </w:rPr>
      </w:pPr>
      <w:r>
        <w:rPr>
          <w:rFonts w:ascii="Century Gothic" w:hAnsi="Century Gothic"/>
          <w:sz w:val="18"/>
          <w:szCs w:val="18"/>
        </w:rPr>
        <w:t>The Appeals court concluded that the trial correctly granted the state’s motion for summary judgement. Because that conclusion resolves the controversy between the parties, the Appeals Court did not address the other declaration</w:t>
      </w:r>
      <w:r w:rsidR="009A1605">
        <w:rPr>
          <w:rFonts w:ascii="Century Gothic" w:hAnsi="Century Gothic"/>
          <w:sz w:val="18"/>
          <w:szCs w:val="18"/>
        </w:rPr>
        <w:t>s sought by the plaintiffs. The Court vacated the trial court’s actions, however, saying that the trial court needed to enter a judgement that declared the parties’ rights, and thus the Appeals Court remanded the case back to the trial court to re-issue the judgment.</w:t>
      </w:r>
    </w:p>
    <w:p w14:paraId="354F8F2C" w14:textId="410E70BA" w:rsidR="00752C4D" w:rsidRPr="00752C4D" w:rsidRDefault="00752C4D" w:rsidP="00E25639">
      <w:pPr>
        <w:ind w:right="1476"/>
        <w:rPr>
          <w:rFonts w:ascii="Century Gothic" w:hAnsi="Century Gothic"/>
          <w:iCs/>
          <w:color w:val="000000"/>
          <w:sz w:val="18"/>
          <w:szCs w:val="18"/>
          <w:shd w:val="clear" w:color="auto" w:fill="FFFFFF"/>
        </w:rPr>
      </w:pPr>
      <w:r>
        <w:rPr>
          <w:rFonts w:ascii="Century Gothic" w:hAnsi="Century Gothic"/>
          <w:iCs/>
          <w:color w:val="000000"/>
          <w:sz w:val="18"/>
          <w:szCs w:val="18"/>
          <w:shd w:val="clear" w:color="auto" w:fill="FFFFFF"/>
        </w:rPr>
        <w:t xml:space="preserve"> </w:t>
      </w:r>
    </w:p>
    <w:p w14:paraId="7610EB3B" w14:textId="77777777" w:rsidR="00E25639" w:rsidRDefault="00E25639" w:rsidP="00E25639">
      <w:pPr>
        <w:ind w:right="1476"/>
        <w:rPr>
          <w:rFonts w:ascii="Century Gothic" w:hAnsi="Century Gothic"/>
          <w:i/>
          <w:color w:val="000000"/>
          <w:sz w:val="22"/>
          <w:szCs w:val="22"/>
          <w:shd w:val="clear" w:color="auto" w:fill="FFFFFF"/>
        </w:rPr>
      </w:pPr>
    </w:p>
    <w:p w14:paraId="71ED4AA5" w14:textId="7DA75AB0" w:rsidR="00E25639" w:rsidRPr="00E25639" w:rsidRDefault="00E25639" w:rsidP="00E25639">
      <w:pPr>
        <w:pStyle w:val="ListParagraph"/>
        <w:numPr>
          <w:ilvl w:val="0"/>
          <w:numId w:val="6"/>
        </w:numPr>
        <w:ind w:right="1476"/>
        <w:rPr>
          <w:rFonts w:ascii="Century Gothic" w:eastAsia="Times New Roman" w:hAnsi="Century Gothic" w:cs="Times New Roman"/>
          <w:b/>
          <w:sz w:val="22"/>
          <w:szCs w:val="22"/>
        </w:rPr>
      </w:pPr>
      <w:r w:rsidRPr="00E25639">
        <w:rPr>
          <w:rFonts w:ascii="Century Gothic" w:eastAsia="Times New Roman" w:hAnsi="Century Gothic" w:cs="Times New Roman"/>
          <w:b/>
          <w:sz w:val="22"/>
          <w:szCs w:val="22"/>
        </w:rPr>
        <w:t xml:space="preserve">Oregon Supreme Court - Oral Arguments, </w:t>
      </w:r>
      <w:r w:rsidR="00814C54">
        <w:rPr>
          <w:rFonts w:ascii="Century Gothic" w:eastAsia="Times New Roman" w:hAnsi="Century Gothic" w:cs="Times New Roman"/>
          <w:b/>
          <w:sz w:val="22"/>
          <w:szCs w:val="22"/>
        </w:rPr>
        <w:t>November 13</w:t>
      </w:r>
      <w:r w:rsidRPr="00E25639">
        <w:rPr>
          <w:rFonts w:ascii="Century Gothic" w:eastAsia="Times New Roman" w:hAnsi="Century Gothic" w:cs="Times New Roman"/>
          <w:b/>
          <w:sz w:val="22"/>
          <w:szCs w:val="22"/>
        </w:rPr>
        <w:t>, 2019</w:t>
      </w:r>
    </w:p>
    <w:p w14:paraId="1FC493EB" w14:textId="77777777" w:rsidR="00E25639" w:rsidRPr="009A1605" w:rsidRDefault="00E25639" w:rsidP="00E25639">
      <w:pPr>
        <w:ind w:right="1476"/>
        <w:rPr>
          <w:rFonts w:ascii="Century Gothic" w:hAnsi="Century Gothic"/>
          <w:sz w:val="18"/>
          <w:szCs w:val="18"/>
        </w:rPr>
      </w:pPr>
    </w:p>
    <w:p w14:paraId="5FFA3FB1" w14:textId="6065C50B" w:rsidR="008E1D50" w:rsidRPr="009A1605" w:rsidRDefault="009A1605" w:rsidP="00E25639">
      <w:pPr>
        <w:ind w:right="-54"/>
        <w:rPr>
          <w:rFonts w:ascii="Century Gothic" w:hAnsi="Century Gothic"/>
          <w:sz w:val="18"/>
          <w:szCs w:val="18"/>
        </w:rPr>
      </w:pPr>
      <w:r w:rsidRPr="009A1605">
        <w:rPr>
          <w:rFonts w:ascii="Century Gothic" w:hAnsi="Century Gothic"/>
          <w:sz w:val="18"/>
          <w:szCs w:val="18"/>
        </w:rPr>
        <w:t>Briefs available</w:t>
      </w:r>
      <w:r>
        <w:rPr>
          <w:rFonts w:ascii="Century Gothic" w:hAnsi="Century Gothic"/>
          <w:sz w:val="18"/>
          <w:szCs w:val="18"/>
        </w:rPr>
        <w:t xml:space="preserve"> (and soon to be available)</w:t>
      </w:r>
      <w:r w:rsidRPr="009A1605">
        <w:rPr>
          <w:rFonts w:ascii="Century Gothic" w:hAnsi="Century Gothic"/>
          <w:sz w:val="18"/>
          <w:szCs w:val="18"/>
        </w:rPr>
        <w:t xml:space="preserve"> on the Supreme Court’s website:</w:t>
      </w:r>
    </w:p>
    <w:p w14:paraId="071452AC" w14:textId="31B43D98" w:rsidR="009A1605" w:rsidRPr="009A1605" w:rsidRDefault="009A1605" w:rsidP="00E25639">
      <w:pPr>
        <w:ind w:right="-54"/>
        <w:rPr>
          <w:rFonts w:ascii="Century Gothic" w:hAnsi="Century Gothic"/>
          <w:color w:val="000000" w:themeColor="text1"/>
          <w:sz w:val="18"/>
          <w:szCs w:val="18"/>
        </w:rPr>
      </w:pPr>
    </w:p>
    <w:p w14:paraId="66662C4E"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Petitioner Brief on the Merits (rec’d 7/31/19)</w:t>
      </w:r>
    </w:p>
    <w:p w14:paraId="78BE8F2A"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(Multnomah County)</w:t>
      </w:r>
    </w:p>
    <w:p w14:paraId="41872E80"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(Organizations, businesses and individuals)</w:t>
      </w:r>
    </w:p>
    <w:p w14:paraId="7A0FC23B"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(Law Professors)</w:t>
      </w:r>
    </w:p>
    <w:p w14:paraId="499B5A8D"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(Fourteen Oregon Elected Officials)</w:t>
      </w:r>
    </w:p>
    <w:p w14:paraId="67EDBCA5"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(Kenneth Kaufman's clients)</w:t>
      </w:r>
    </w:p>
    <w:p w14:paraId="266AF596"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(Elisabeth Holmes' clients)</w:t>
      </w:r>
    </w:p>
    <w:p w14:paraId="705C47B1"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(Multnomah and Lane Counties)</w:t>
      </w:r>
    </w:p>
    <w:p w14:paraId="1F374717" w14:textId="77777777"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Amicus Curiae Brief (Oregon Trial Lawyers Association)</w:t>
      </w:r>
    </w:p>
    <w:p w14:paraId="26AF0583" w14:textId="7A33785F"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Respondents Brief on the Merits </w:t>
      </w:r>
    </w:p>
    <w:p w14:paraId="2373495C" w14:textId="239DC7AE" w:rsidR="009A1605" w:rsidRPr="009A1605" w:rsidRDefault="009A1605" w:rsidP="009A1605">
      <w:pPr>
        <w:shd w:val="clear" w:color="auto" w:fill="FFFFFF"/>
        <w:rPr>
          <w:rFonts w:ascii="Century Gothic" w:hAnsi="Century Gothic" w:cs="Arial"/>
          <w:color w:val="000000" w:themeColor="text1"/>
          <w:sz w:val="18"/>
          <w:szCs w:val="18"/>
        </w:rPr>
      </w:pPr>
      <w:r w:rsidRPr="009A1605">
        <w:rPr>
          <w:rFonts w:ascii="Century Gothic" w:hAnsi="Century Gothic" w:cs="Arial"/>
          <w:color w:val="000000" w:themeColor="text1"/>
          <w:sz w:val="18"/>
          <w:szCs w:val="18"/>
        </w:rPr>
        <w:t>Petitioners Reply Brief </w:t>
      </w:r>
    </w:p>
    <w:p w14:paraId="6AABB108" w14:textId="77777777" w:rsidR="009A1605" w:rsidRPr="009A1605" w:rsidRDefault="009A1605" w:rsidP="00E25639">
      <w:pPr>
        <w:ind w:right="-54"/>
        <w:rPr>
          <w:rFonts w:ascii="Century Gothic" w:hAnsi="Century Gothic"/>
          <w:color w:val="000000" w:themeColor="text1"/>
          <w:sz w:val="18"/>
          <w:szCs w:val="18"/>
        </w:rPr>
      </w:pPr>
    </w:p>
    <w:p w14:paraId="112D456B" w14:textId="77777777" w:rsidR="00DD37B2" w:rsidRPr="00E25639" w:rsidRDefault="00DD37B2" w:rsidP="00E25639">
      <w:pPr>
        <w:ind w:right="-54"/>
        <w:rPr>
          <w:rFonts w:ascii="Century Gothic" w:hAnsi="Century Gothic"/>
          <w:sz w:val="22"/>
          <w:szCs w:val="22"/>
        </w:rPr>
      </w:pPr>
    </w:p>
    <w:p w14:paraId="30D4BBF3" w14:textId="6C3B1A17" w:rsidR="00DD37B2" w:rsidRPr="00E25639" w:rsidRDefault="00DD37B2" w:rsidP="00E25639">
      <w:pPr>
        <w:ind w:right="-54"/>
        <w:rPr>
          <w:rFonts w:ascii="Century Gothic" w:hAnsi="Century Gothic"/>
        </w:rPr>
      </w:pPr>
    </w:p>
    <w:p w14:paraId="541924D4" w14:textId="77777777" w:rsidR="00E25639" w:rsidRDefault="00E25639" w:rsidP="00E25639">
      <w:pPr>
        <w:rPr>
          <w:rFonts w:ascii="Century Gothic" w:hAnsi="Century Gothic"/>
          <w:b/>
          <w:sz w:val="20"/>
          <w:szCs w:val="20"/>
        </w:rPr>
      </w:pPr>
    </w:p>
    <w:p w14:paraId="33165BCF" w14:textId="77777777" w:rsidR="008C5842" w:rsidRDefault="008C5842" w:rsidP="00E25639">
      <w:pPr>
        <w:rPr>
          <w:rFonts w:ascii="Century Gothic" w:hAnsi="Century Gothic"/>
          <w:b/>
          <w:sz w:val="20"/>
          <w:szCs w:val="20"/>
        </w:rPr>
      </w:pPr>
    </w:p>
    <w:p w14:paraId="7E453947" w14:textId="77777777" w:rsidR="008C5842" w:rsidRDefault="008C5842" w:rsidP="00E25639">
      <w:pPr>
        <w:rPr>
          <w:rFonts w:ascii="Century Gothic" w:hAnsi="Century Gothic"/>
          <w:b/>
          <w:sz w:val="20"/>
          <w:szCs w:val="20"/>
        </w:rPr>
      </w:pPr>
    </w:p>
    <w:p w14:paraId="3AF7058F" w14:textId="77777777" w:rsidR="008C5842" w:rsidRDefault="008C5842" w:rsidP="00E25639">
      <w:pPr>
        <w:rPr>
          <w:rFonts w:ascii="Century Gothic" w:hAnsi="Century Gothic"/>
          <w:b/>
          <w:sz w:val="20"/>
          <w:szCs w:val="20"/>
        </w:rPr>
      </w:pPr>
    </w:p>
    <w:p w14:paraId="6BB90030" w14:textId="77777777" w:rsidR="008C5842" w:rsidRDefault="008C5842" w:rsidP="00E25639">
      <w:pPr>
        <w:rPr>
          <w:rFonts w:ascii="Century Gothic" w:hAnsi="Century Gothic"/>
          <w:b/>
          <w:sz w:val="20"/>
          <w:szCs w:val="20"/>
        </w:rPr>
      </w:pPr>
    </w:p>
    <w:p w14:paraId="183EE6B5" w14:textId="4025698C" w:rsidR="008C5842" w:rsidRDefault="008C5842">
      <w:pPr>
        <w:rPr>
          <w:rFonts w:ascii="Century Gothic" w:hAnsi="Century Gothic"/>
          <w:b/>
          <w:sz w:val="20"/>
          <w:szCs w:val="20"/>
        </w:rPr>
      </w:pPr>
      <w:r>
        <w:rPr>
          <w:rFonts w:ascii="Century Gothic" w:hAnsi="Century Gothic"/>
          <w:b/>
          <w:sz w:val="20"/>
          <w:szCs w:val="20"/>
        </w:rPr>
        <w:br w:type="page"/>
      </w:r>
    </w:p>
    <w:p w14:paraId="40854D01" w14:textId="640C5E3C" w:rsidR="00E25639" w:rsidRPr="00063A8D" w:rsidRDefault="00E25639" w:rsidP="00E25639">
      <w:pPr>
        <w:rPr>
          <w:rFonts w:ascii="Century Gothic" w:hAnsi="Century Gothic"/>
          <w:sz w:val="18"/>
          <w:szCs w:val="18"/>
        </w:rPr>
      </w:pPr>
      <w:r w:rsidRPr="00063A8D">
        <w:rPr>
          <w:rFonts w:ascii="Century Gothic" w:hAnsi="Century Gothic"/>
          <w:sz w:val="18"/>
          <w:szCs w:val="18"/>
        </w:rPr>
        <w:lastRenderedPageBreak/>
        <w:t>Oregon Supreme Court Oral Arguments</w:t>
      </w:r>
    </w:p>
    <w:p w14:paraId="54E7E366" w14:textId="312BA4E0" w:rsidR="00E25639" w:rsidRPr="00063A8D" w:rsidRDefault="00E25639" w:rsidP="00E25639">
      <w:pPr>
        <w:rPr>
          <w:rFonts w:ascii="Century Gothic" w:hAnsi="Century Gothic"/>
          <w:sz w:val="18"/>
          <w:szCs w:val="18"/>
        </w:rPr>
      </w:pPr>
      <w:r w:rsidRPr="00063A8D">
        <w:rPr>
          <w:rFonts w:ascii="Century Gothic" w:hAnsi="Century Gothic"/>
          <w:sz w:val="18"/>
          <w:szCs w:val="18"/>
        </w:rPr>
        <w:t>3.</w:t>
      </w:r>
      <w:r w:rsidR="00775E7E">
        <w:rPr>
          <w:rFonts w:ascii="Century Gothic" w:hAnsi="Century Gothic"/>
          <w:sz w:val="18"/>
          <w:szCs w:val="18"/>
        </w:rPr>
        <w:t>3</w:t>
      </w:r>
      <w:r w:rsidRPr="00063A8D">
        <w:rPr>
          <w:rFonts w:ascii="Century Gothic" w:hAnsi="Century Gothic"/>
          <w:sz w:val="18"/>
          <w:szCs w:val="18"/>
        </w:rPr>
        <w:t xml:space="preserve"> - The Cases</w:t>
      </w:r>
    </w:p>
    <w:p w14:paraId="5F0B9732" w14:textId="77777777" w:rsidR="00E25639" w:rsidRDefault="00E25639" w:rsidP="00E25639">
      <w:pPr>
        <w:rPr>
          <w:rFonts w:ascii="Century Gothic" w:hAnsi="Century Gothic"/>
          <w:sz w:val="20"/>
          <w:szCs w:val="20"/>
        </w:rPr>
      </w:pPr>
    </w:p>
    <w:p w14:paraId="5AB43C85" w14:textId="0ED1BA18" w:rsidR="00E25639" w:rsidRPr="003F2030" w:rsidRDefault="00E25639" w:rsidP="00E25639">
      <w:pPr>
        <w:jc w:val="center"/>
        <w:rPr>
          <w:rFonts w:ascii="Century Gothic" w:hAnsi="Century Gothic"/>
          <w:b/>
          <w:color w:val="000000" w:themeColor="text1"/>
          <w:sz w:val="28"/>
          <w:szCs w:val="28"/>
        </w:rPr>
      </w:pPr>
      <w:r>
        <w:rPr>
          <w:rFonts w:ascii="Century Gothic" w:hAnsi="Century Gothic"/>
          <w:b/>
          <w:color w:val="000000" w:themeColor="text1"/>
          <w:sz w:val="28"/>
          <w:szCs w:val="28"/>
        </w:rPr>
        <w:t>Background of Case #2:</w:t>
      </w:r>
    </w:p>
    <w:p w14:paraId="4F828E9C" w14:textId="77777777" w:rsidR="00E25639" w:rsidRPr="008E1D50" w:rsidRDefault="00E25639" w:rsidP="00E25639">
      <w:pPr>
        <w:rPr>
          <w:rFonts w:ascii="Century Gothic" w:hAnsi="Century Gothic" w:cs="Arial"/>
        </w:rPr>
      </w:pPr>
    </w:p>
    <w:p w14:paraId="5EA5DDC6" w14:textId="163A56B8" w:rsidR="00E25639" w:rsidRDefault="00CF62B4" w:rsidP="00E25639">
      <w:pPr>
        <w:jc w:val="center"/>
        <w:rPr>
          <w:rFonts w:ascii="Century Gothic" w:hAnsi="Century Gothic"/>
          <w:i/>
          <w:sz w:val="22"/>
          <w:szCs w:val="22"/>
        </w:rPr>
      </w:pPr>
      <w:r>
        <w:rPr>
          <w:rFonts w:ascii="Century Gothic" w:hAnsi="Century Gothic"/>
          <w:i/>
          <w:sz w:val="22"/>
          <w:szCs w:val="22"/>
        </w:rPr>
        <w:t>State of Oregon</w:t>
      </w:r>
      <w:r w:rsidR="00E25639" w:rsidRPr="008E1D50">
        <w:rPr>
          <w:rFonts w:ascii="Century Gothic" w:hAnsi="Century Gothic"/>
          <w:i/>
          <w:sz w:val="22"/>
          <w:szCs w:val="22"/>
        </w:rPr>
        <w:t>,</w:t>
      </w:r>
    </w:p>
    <w:p w14:paraId="571D7BC7" w14:textId="66D01D9C" w:rsidR="006A2B87" w:rsidRPr="008E1D50" w:rsidRDefault="006A2B87" w:rsidP="00E25639">
      <w:pPr>
        <w:jc w:val="center"/>
        <w:rPr>
          <w:rFonts w:ascii="Century Gothic" w:hAnsi="Century Gothic"/>
          <w:i/>
          <w:sz w:val="22"/>
          <w:szCs w:val="22"/>
        </w:rPr>
      </w:pPr>
      <w:r>
        <w:rPr>
          <w:rFonts w:ascii="Century Gothic" w:hAnsi="Century Gothic"/>
          <w:i/>
          <w:sz w:val="22"/>
          <w:szCs w:val="22"/>
        </w:rPr>
        <w:t>Plaintiff-Respondent-Petitioner</w:t>
      </w:r>
    </w:p>
    <w:p w14:paraId="70623160" w14:textId="3693CF61" w:rsidR="00E25639" w:rsidRPr="008E1D50" w:rsidRDefault="00E25639" w:rsidP="00E25639">
      <w:pPr>
        <w:jc w:val="center"/>
        <w:rPr>
          <w:rFonts w:ascii="Century Gothic" w:hAnsi="Century Gothic"/>
          <w:i/>
          <w:sz w:val="22"/>
          <w:szCs w:val="22"/>
        </w:rPr>
      </w:pPr>
      <w:r w:rsidRPr="008E1D50">
        <w:rPr>
          <w:rFonts w:ascii="Century Gothic" w:hAnsi="Century Gothic"/>
          <w:i/>
          <w:sz w:val="22"/>
          <w:szCs w:val="22"/>
        </w:rPr>
        <w:t>v.</w:t>
      </w:r>
    </w:p>
    <w:p w14:paraId="020D1A0D" w14:textId="590CEA9F" w:rsidR="00E25639" w:rsidRDefault="00CF62B4" w:rsidP="00E25639">
      <w:pPr>
        <w:jc w:val="center"/>
        <w:rPr>
          <w:rFonts w:ascii="Century Gothic" w:hAnsi="Century Gothic"/>
          <w:i/>
          <w:sz w:val="22"/>
          <w:szCs w:val="22"/>
        </w:rPr>
      </w:pPr>
      <w:r>
        <w:rPr>
          <w:rFonts w:ascii="Century Gothic" w:hAnsi="Century Gothic"/>
          <w:i/>
          <w:sz w:val="22"/>
          <w:szCs w:val="22"/>
        </w:rPr>
        <w:t>Tamara Louise Fulmer</w:t>
      </w:r>
      <w:r w:rsidR="00315D5D">
        <w:rPr>
          <w:rFonts w:ascii="Century Gothic" w:hAnsi="Century Gothic"/>
          <w:i/>
          <w:sz w:val="22"/>
          <w:szCs w:val="22"/>
        </w:rPr>
        <w:t>,</w:t>
      </w:r>
    </w:p>
    <w:p w14:paraId="5F91C6C1" w14:textId="31100E97" w:rsidR="006A2B87" w:rsidRPr="008E1D50" w:rsidRDefault="006A2B87" w:rsidP="00E25639">
      <w:pPr>
        <w:jc w:val="center"/>
        <w:rPr>
          <w:rFonts w:ascii="Century Gothic" w:hAnsi="Century Gothic"/>
          <w:i/>
          <w:sz w:val="22"/>
          <w:szCs w:val="22"/>
        </w:rPr>
      </w:pPr>
      <w:r>
        <w:rPr>
          <w:rFonts w:ascii="Century Gothic" w:hAnsi="Century Gothic"/>
          <w:i/>
          <w:sz w:val="22"/>
          <w:szCs w:val="22"/>
        </w:rPr>
        <w:t>Defendant-Appellant-Respondent</w:t>
      </w:r>
    </w:p>
    <w:p w14:paraId="4CBF5498" w14:textId="77777777" w:rsidR="00E25639" w:rsidRPr="008E1D50" w:rsidRDefault="00E25639" w:rsidP="00E25639">
      <w:pPr>
        <w:rPr>
          <w:rFonts w:ascii="Century Gothic" w:hAnsi="Century Gothic" w:cs="Arial"/>
          <w:sz w:val="22"/>
          <w:szCs w:val="22"/>
        </w:rPr>
      </w:pPr>
    </w:p>
    <w:p w14:paraId="631D3145" w14:textId="361F8255" w:rsidR="00E25639" w:rsidRDefault="00E25639" w:rsidP="00E25639">
      <w:pPr>
        <w:jc w:val="center"/>
        <w:rPr>
          <w:rFonts w:ascii="Century Gothic" w:hAnsi="Century Gothic" w:cs="Arial"/>
          <w:b/>
          <w:bCs/>
          <w:sz w:val="22"/>
          <w:szCs w:val="22"/>
        </w:rPr>
      </w:pPr>
      <w:r w:rsidRPr="00814C54">
        <w:rPr>
          <w:rFonts w:ascii="Century Gothic" w:hAnsi="Century Gothic" w:cs="Arial"/>
          <w:b/>
          <w:bCs/>
          <w:sz w:val="22"/>
          <w:szCs w:val="22"/>
        </w:rPr>
        <w:t xml:space="preserve">Supreme Court Case </w:t>
      </w:r>
      <w:r w:rsidR="00814C54" w:rsidRPr="00814C54">
        <w:rPr>
          <w:rFonts w:ascii="Century Gothic" w:hAnsi="Century Gothic" w:cs="Arial"/>
          <w:b/>
          <w:bCs/>
          <w:sz w:val="22"/>
          <w:szCs w:val="22"/>
        </w:rPr>
        <w:t>SO66654</w:t>
      </w:r>
    </w:p>
    <w:p w14:paraId="71D7B870" w14:textId="77777777" w:rsidR="00814C54" w:rsidRPr="00814C54" w:rsidRDefault="00814C54" w:rsidP="00E25639">
      <w:pPr>
        <w:jc w:val="center"/>
        <w:rPr>
          <w:rFonts w:ascii="Century Gothic" w:hAnsi="Century Gothic"/>
          <w:b/>
          <w:bCs/>
          <w:sz w:val="22"/>
          <w:szCs w:val="22"/>
        </w:rPr>
      </w:pPr>
    </w:p>
    <w:p w14:paraId="3264C2C4" w14:textId="2CC2A69B" w:rsidR="00DD37B2" w:rsidRDefault="00DD37B2">
      <w:pPr>
        <w:rPr>
          <w:rFonts w:ascii="Century Gothic" w:hAnsi="Century Gothic"/>
          <w:sz w:val="22"/>
          <w:szCs w:val="22"/>
        </w:rPr>
      </w:pPr>
    </w:p>
    <w:p w14:paraId="427E50B1" w14:textId="371E8233" w:rsidR="00315D5D" w:rsidRPr="00315D5D" w:rsidRDefault="00315D5D" w:rsidP="00315D5D">
      <w:pPr>
        <w:pStyle w:val="ListParagraph"/>
        <w:numPr>
          <w:ilvl w:val="0"/>
          <w:numId w:val="7"/>
        </w:numPr>
        <w:rPr>
          <w:rFonts w:ascii="Century Gothic" w:hAnsi="Century Gothic"/>
          <w:b/>
          <w:sz w:val="22"/>
          <w:szCs w:val="22"/>
        </w:rPr>
      </w:pPr>
      <w:r w:rsidRPr="00315D5D">
        <w:rPr>
          <w:rFonts w:ascii="Century Gothic" w:hAnsi="Century Gothic"/>
          <w:b/>
          <w:sz w:val="22"/>
          <w:szCs w:val="22"/>
        </w:rPr>
        <w:t>The Original Trial Court / Facts of the Case</w:t>
      </w:r>
      <w:r w:rsidR="002A06BD">
        <w:rPr>
          <w:rFonts w:ascii="Century Gothic" w:hAnsi="Century Gothic"/>
          <w:b/>
          <w:sz w:val="22"/>
          <w:szCs w:val="22"/>
        </w:rPr>
        <w:t>*</w:t>
      </w:r>
    </w:p>
    <w:p w14:paraId="778B7299" w14:textId="77777777" w:rsidR="00315D5D" w:rsidRPr="00265839" w:rsidRDefault="00315D5D" w:rsidP="00315D5D">
      <w:pPr>
        <w:pStyle w:val="ListParagraph"/>
        <w:rPr>
          <w:rFonts w:ascii="Century Gothic" w:hAnsi="Century Gothic"/>
          <w:sz w:val="22"/>
          <w:szCs w:val="22"/>
        </w:rPr>
      </w:pPr>
    </w:p>
    <w:p w14:paraId="25D6A902" w14:textId="77777777" w:rsidR="002A06BD" w:rsidRPr="006A2B87" w:rsidRDefault="002A06BD" w:rsidP="00315D5D">
      <w:pPr>
        <w:rPr>
          <w:rFonts w:ascii="Century Gothic" w:hAnsi="Century Gothic"/>
          <w:sz w:val="20"/>
          <w:szCs w:val="20"/>
        </w:rPr>
      </w:pPr>
    </w:p>
    <w:p w14:paraId="3B5D44EF" w14:textId="1DD4CBE1" w:rsidR="00CF62B4" w:rsidRPr="00903C71" w:rsidRDefault="006A2B87" w:rsidP="00315D5D">
      <w:pPr>
        <w:rPr>
          <w:rFonts w:ascii="Century Gothic" w:hAnsi="Century Gothic"/>
          <w:sz w:val="18"/>
          <w:szCs w:val="18"/>
        </w:rPr>
      </w:pPr>
      <w:r w:rsidRPr="00903C71">
        <w:rPr>
          <w:rFonts w:ascii="Century Gothic" w:hAnsi="Century Gothic"/>
          <w:sz w:val="18"/>
          <w:szCs w:val="18"/>
        </w:rPr>
        <w:t xml:space="preserve">On patrol one night, Officer </w:t>
      </w:r>
      <w:proofErr w:type="spellStart"/>
      <w:r w:rsidRPr="00903C71">
        <w:rPr>
          <w:rFonts w:ascii="Century Gothic" w:hAnsi="Century Gothic"/>
          <w:sz w:val="18"/>
          <w:szCs w:val="18"/>
        </w:rPr>
        <w:t>Delepine</w:t>
      </w:r>
      <w:proofErr w:type="spellEnd"/>
      <w:r w:rsidRPr="00903C71">
        <w:rPr>
          <w:rFonts w:ascii="Century Gothic" w:hAnsi="Century Gothic"/>
          <w:sz w:val="18"/>
          <w:szCs w:val="18"/>
        </w:rPr>
        <w:t xml:space="preserve"> of the Hillsboro Police Department pulled a car over for having an expired license plate registration. When Officer </w:t>
      </w:r>
      <w:proofErr w:type="spellStart"/>
      <w:r w:rsidRPr="00903C71">
        <w:rPr>
          <w:rFonts w:ascii="Century Gothic" w:hAnsi="Century Gothic"/>
          <w:sz w:val="18"/>
          <w:szCs w:val="18"/>
        </w:rPr>
        <w:t>Delepine</w:t>
      </w:r>
      <w:proofErr w:type="spellEnd"/>
      <w:r w:rsidRPr="00903C71">
        <w:rPr>
          <w:rFonts w:ascii="Century Gothic" w:hAnsi="Century Gothic"/>
          <w:sz w:val="18"/>
          <w:szCs w:val="18"/>
        </w:rPr>
        <w:t xml:space="preserve"> asked Tamara Fulmer, the defendant, for her driver’s license and registration, she admitted her registration was expired and her license was suspended, and that she did not have insurance.</w:t>
      </w:r>
    </w:p>
    <w:p w14:paraId="079E3562" w14:textId="5B729E62" w:rsidR="006A2B87" w:rsidRPr="00903C71" w:rsidRDefault="006A2B87" w:rsidP="00315D5D">
      <w:pPr>
        <w:rPr>
          <w:rFonts w:ascii="Century Gothic" w:hAnsi="Century Gothic"/>
          <w:sz w:val="18"/>
          <w:szCs w:val="18"/>
        </w:rPr>
      </w:pPr>
    </w:p>
    <w:p w14:paraId="67CC3972" w14:textId="68E9AC1C" w:rsidR="00CF62B4" w:rsidRPr="00903C71" w:rsidRDefault="006A2B87" w:rsidP="00315D5D">
      <w:pPr>
        <w:rPr>
          <w:rFonts w:ascii="Century Gothic" w:hAnsi="Century Gothic"/>
          <w:sz w:val="18"/>
          <w:szCs w:val="18"/>
        </w:rPr>
      </w:pPr>
      <w:r w:rsidRPr="00903C71">
        <w:rPr>
          <w:rFonts w:ascii="Century Gothic" w:hAnsi="Century Gothic"/>
          <w:sz w:val="18"/>
          <w:szCs w:val="18"/>
        </w:rPr>
        <w:t xml:space="preserve">Following protocol, because the officer intended to impound the car from there, as he wrote a citation for the defendant, he called for a second officer to assist. They asked the defendant to step out of the car so that they could take an inventory of the car before it was impounded. When defendant exited the car, she took her cell phone and a pack of cigarettes with her but left her purse on the passenger seat. </w:t>
      </w:r>
    </w:p>
    <w:p w14:paraId="677C9319" w14:textId="3124199F" w:rsidR="006A2B87" w:rsidRPr="00903C71" w:rsidRDefault="006A2B87" w:rsidP="00315D5D">
      <w:pPr>
        <w:rPr>
          <w:rFonts w:ascii="Century Gothic" w:hAnsi="Century Gothic"/>
          <w:sz w:val="18"/>
          <w:szCs w:val="18"/>
        </w:rPr>
      </w:pPr>
    </w:p>
    <w:p w14:paraId="50F7C60C" w14:textId="7D82ED7D" w:rsidR="006A2B87" w:rsidRPr="00903C71" w:rsidRDefault="006A2B87" w:rsidP="00315D5D">
      <w:pPr>
        <w:rPr>
          <w:rFonts w:ascii="Century Gothic" w:hAnsi="Century Gothic"/>
          <w:sz w:val="18"/>
          <w:szCs w:val="18"/>
        </w:rPr>
      </w:pPr>
      <w:r w:rsidRPr="00903C71">
        <w:rPr>
          <w:rFonts w:ascii="Century Gothic" w:hAnsi="Century Gothic"/>
          <w:sz w:val="18"/>
          <w:szCs w:val="18"/>
        </w:rPr>
        <w:t xml:space="preserve">The Hillsboro Police Department’s policy on inventory states that upon taking custody of the vehicle, officers must inventory “all personal property and contents of open containers found” in the vehicle’s passenger compartment. It does not allow the opening of closed containers, but specifically excludes “item[s] designed for carrying money and/or small valuables” (such as closed wallets, coin purses, purses, and waist packs) from the definition of “closed container.” </w:t>
      </w:r>
      <w:proofErr w:type="gramStart"/>
      <w:r w:rsidRPr="00903C71">
        <w:rPr>
          <w:rFonts w:ascii="Century Gothic" w:hAnsi="Century Gothic"/>
          <w:sz w:val="18"/>
          <w:szCs w:val="18"/>
        </w:rPr>
        <w:t>So</w:t>
      </w:r>
      <w:proofErr w:type="gramEnd"/>
      <w:r w:rsidRPr="00903C71">
        <w:rPr>
          <w:rFonts w:ascii="Century Gothic" w:hAnsi="Century Gothic"/>
          <w:sz w:val="18"/>
          <w:szCs w:val="18"/>
        </w:rPr>
        <w:t xml:space="preserve"> the policy does allow for items like purses and wallets to be inventoried including their contents. </w:t>
      </w:r>
    </w:p>
    <w:p w14:paraId="557D13FA" w14:textId="3A743723" w:rsidR="006A2B87" w:rsidRPr="00903C71" w:rsidRDefault="006A2B87" w:rsidP="00315D5D">
      <w:pPr>
        <w:rPr>
          <w:rFonts w:ascii="Century Gothic" w:hAnsi="Century Gothic"/>
          <w:sz w:val="18"/>
          <w:szCs w:val="18"/>
        </w:rPr>
      </w:pPr>
    </w:p>
    <w:p w14:paraId="177400F9" w14:textId="7E286CC6" w:rsidR="006A2B87" w:rsidRPr="00903C71" w:rsidRDefault="006A2B87" w:rsidP="00315D5D">
      <w:pPr>
        <w:rPr>
          <w:rFonts w:ascii="Century Gothic" w:hAnsi="Century Gothic"/>
          <w:sz w:val="18"/>
          <w:szCs w:val="18"/>
        </w:rPr>
      </w:pPr>
      <w:r w:rsidRPr="00903C71">
        <w:rPr>
          <w:rFonts w:ascii="Century Gothic" w:hAnsi="Century Gothic"/>
          <w:sz w:val="18"/>
          <w:szCs w:val="18"/>
        </w:rPr>
        <w:t xml:space="preserve">When Officer Weed (the second officer on the scene) examined the defendant’s purse to take inventory, he found needles and a small bag of methamphetamine. Upon that discovery, he directed Officer </w:t>
      </w:r>
      <w:proofErr w:type="spellStart"/>
      <w:r w:rsidRPr="00903C71">
        <w:rPr>
          <w:rFonts w:ascii="Century Gothic" w:hAnsi="Century Gothic"/>
          <w:sz w:val="18"/>
          <w:szCs w:val="18"/>
        </w:rPr>
        <w:t>Delepine</w:t>
      </w:r>
      <w:proofErr w:type="spellEnd"/>
      <w:r w:rsidRPr="00903C71">
        <w:rPr>
          <w:rFonts w:ascii="Century Gothic" w:hAnsi="Century Gothic"/>
          <w:sz w:val="18"/>
          <w:szCs w:val="18"/>
        </w:rPr>
        <w:t xml:space="preserve"> to arrest the defendant. The state charged the defendant with one count of unlawful possession of methamphetamine. But at trial, defendant moved to suppress the evidence from her purse.</w:t>
      </w:r>
    </w:p>
    <w:p w14:paraId="6FE1EE20" w14:textId="497927C1" w:rsidR="006A2B87" w:rsidRPr="00903C71" w:rsidRDefault="006A2B87" w:rsidP="00315D5D">
      <w:pPr>
        <w:rPr>
          <w:rFonts w:ascii="Century Gothic" w:hAnsi="Century Gothic"/>
          <w:sz w:val="18"/>
          <w:szCs w:val="18"/>
        </w:rPr>
      </w:pPr>
    </w:p>
    <w:p w14:paraId="47F6E0C5" w14:textId="194A6515" w:rsidR="006A2B87" w:rsidRPr="00903C71" w:rsidRDefault="006A2B87" w:rsidP="00315D5D">
      <w:pPr>
        <w:rPr>
          <w:rFonts w:ascii="Century Gothic" w:hAnsi="Century Gothic"/>
          <w:sz w:val="18"/>
          <w:szCs w:val="18"/>
        </w:rPr>
      </w:pPr>
      <w:r w:rsidRPr="00903C71">
        <w:rPr>
          <w:rFonts w:ascii="Century Gothic" w:hAnsi="Century Gothic"/>
          <w:sz w:val="18"/>
          <w:szCs w:val="18"/>
        </w:rPr>
        <w:t xml:space="preserve">She claimed that the officers had </w:t>
      </w:r>
      <w:r w:rsidR="002A06BD" w:rsidRPr="00903C71">
        <w:rPr>
          <w:rFonts w:ascii="Century Gothic" w:hAnsi="Century Gothic"/>
          <w:sz w:val="18"/>
          <w:szCs w:val="18"/>
        </w:rPr>
        <w:t xml:space="preserve">unlawfully seized her purse because they did not give her a chance to remove her belongings from the car before they took inventory. The court determined that the stop had been lawful, the decision to impound the car had been lawful, and that the inventory had been lawfully conducted in accordance with the department’s policy.  </w:t>
      </w:r>
    </w:p>
    <w:p w14:paraId="56149545" w14:textId="6EAF4C35" w:rsidR="002A06BD" w:rsidRPr="00903C71" w:rsidRDefault="002A06BD" w:rsidP="00315D5D">
      <w:pPr>
        <w:rPr>
          <w:rFonts w:ascii="Century Gothic" w:hAnsi="Century Gothic"/>
          <w:sz w:val="18"/>
          <w:szCs w:val="18"/>
        </w:rPr>
      </w:pPr>
    </w:p>
    <w:p w14:paraId="560B8CC8" w14:textId="7D9EE4B6" w:rsidR="002A06BD" w:rsidRPr="00903C71" w:rsidRDefault="002A06BD" w:rsidP="00315D5D">
      <w:pPr>
        <w:rPr>
          <w:rFonts w:ascii="Century Gothic" w:hAnsi="Century Gothic"/>
          <w:sz w:val="18"/>
          <w:szCs w:val="18"/>
        </w:rPr>
      </w:pPr>
      <w:r w:rsidRPr="00903C71">
        <w:rPr>
          <w:rFonts w:ascii="Century Gothic" w:hAnsi="Century Gothic"/>
          <w:sz w:val="18"/>
          <w:szCs w:val="18"/>
        </w:rPr>
        <w:t>Defendant was tried and convicted. She appealed the conviction by challenging the denial of her motion to suppress the evidence from her purse.</w:t>
      </w:r>
    </w:p>
    <w:p w14:paraId="53B91034" w14:textId="77777777" w:rsidR="002A06BD" w:rsidRPr="00903C71" w:rsidRDefault="002A06BD" w:rsidP="00315D5D">
      <w:pPr>
        <w:rPr>
          <w:rFonts w:ascii="Century Gothic" w:hAnsi="Century Gothic"/>
          <w:i/>
          <w:iCs/>
          <w:sz w:val="18"/>
          <w:szCs w:val="18"/>
        </w:rPr>
      </w:pPr>
    </w:p>
    <w:p w14:paraId="47A77A63" w14:textId="1A3C2241" w:rsidR="002A06BD" w:rsidRPr="00903C71" w:rsidRDefault="002A06BD" w:rsidP="002A06BD">
      <w:pPr>
        <w:rPr>
          <w:rFonts w:ascii="Century Gothic" w:hAnsi="Century Gothic"/>
          <w:i/>
          <w:iCs/>
          <w:sz w:val="18"/>
          <w:szCs w:val="18"/>
        </w:rPr>
      </w:pPr>
      <w:r w:rsidRPr="00903C71">
        <w:rPr>
          <w:rFonts w:ascii="Century Gothic" w:hAnsi="Century Gothic"/>
          <w:i/>
          <w:iCs/>
          <w:sz w:val="18"/>
          <w:szCs w:val="18"/>
        </w:rPr>
        <w:t xml:space="preserve">*summarized </w:t>
      </w:r>
      <w:r w:rsidRPr="00903C71">
        <w:rPr>
          <w:rFonts w:ascii="Century Gothic" w:hAnsi="Century Gothic"/>
          <w:i/>
          <w:iCs/>
          <w:sz w:val="18"/>
          <w:szCs w:val="18"/>
        </w:rPr>
        <w:t xml:space="preserve">from the Appellate </w:t>
      </w:r>
      <w:r w:rsidRPr="00903C71">
        <w:rPr>
          <w:rFonts w:ascii="Century Gothic" w:hAnsi="Century Gothic"/>
          <w:i/>
          <w:iCs/>
          <w:sz w:val="18"/>
          <w:szCs w:val="18"/>
        </w:rPr>
        <w:t xml:space="preserve">Court’s </w:t>
      </w:r>
      <w:r w:rsidRPr="00903C71">
        <w:rPr>
          <w:rFonts w:ascii="Century Gothic" w:hAnsi="Century Gothic"/>
          <w:i/>
          <w:iCs/>
          <w:sz w:val="18"/>
          <w:szCs w:val="18"/>
        </w:rPr>
        <w:t>opinion</w:t>
      </w:r>
    </w:p>
    <w:p w14:paraId="3698785A" w14:textId="77777777" w:rsidR="00CF62B4" w:rsidRPr="00903C71" w:rsidRDefault="00CF62B4" w:rsidP="00315D5D">
      <w:pPr>
        <w:rPr>
          <w:rFonts w:ascii="Century Gothic" w:hAnsi="Century Gothic"/>
          <w:sz w:val="18"/>
          <w:szCs w:val="18"/>
        </w:rPr>
      </w:pPr>
    </w:p>
    <w:p w14:paraId="4EE23C30" w14:textId="77777777" w:rsidR="00CF62B4" w:rsidRPr="00903C71" w:rsidRDefault="00CF62B4" w:rsidP="00315D5D">
      <w:pPr>
        <w:rPr>
          <w:rFonts w:ascii="Century Gothic" w:hAnsi="Century Gothic"/>
          <w:sz w:val="18"/>
          <w:szCs w:val="18"/>
        </w:rPr>
      </w:pPr>
    </w:p>
    <w:p w14:paraId="25D4861F" w14:textId="77777777" w:rsidR="00CF62B4" w:rsidRPr="00903C71" w:rsidRDefault="00CF62B4" w:rsidP="00315D5D">
      <w:pPr>
        <w:rPr>
          <w:rFonts w:ascii="Century Gothic" w:hAnsi="Century Gothic"/>
          <w:sz w:val="18"/>
          <w:szCs w:val="18"/>
        </w:rPr>
      </w:pPr>
    </w:p>
    <w:p w14:paraId="6E354809" w14:textId="14627941" w:rsidR="00265839" w:rsidRPr="00265839" w:rsidRDefault="00265839" w:rsidP="00265839">
      <w:pPr>
        <w:pStyle w:val="ListParagraph"/>
        <w:numPr>
          <w:ilvl w:val="0"/>
          <w:numId w:val="7"/>
        </w:numPr>
        <w:rPr>
          <w:rFonts w:ascii="Century Gothic" w:hAnsi="Century Gothic"/>
          <w:b/>
          <w:sz w:val="22"/>
          <w:szCs w:val="22"/>
        </w:rPr>
      </w:pPr>
      <w:r w:rsidRPr="00265839">
        <w:rPr>
          <w:rFonts w:ascii="Century Gothic" w:hAnsi="Century Gothic"/>
          <w:b/>
          <w:sz w:val="22"/>
          <w:szCs w:val="22"/>
        </w:rPr>
        <w:t>The Court of Appeals</w:t>
      </w:r>
      <w:r w:rsidR="00835F2F">
        <w:rPr>
          <w:rFonts w:ascii="Century Gothic" w:hAnsi="Century Gothic"/>
          <w:b/>
          <w:sz w:val="22"/>
          <w:szCs w:val="22"/>
        </w:rPr>
        <w:t>, decided February 6, 2019</w:t>
      </w:r>
    </w:p>
    <w:p w14:paraId="2F5D78BE" w14:textId="25678AD8" w:rsidR="00265839" w:rsidRPr="00903C71" w:rsidRDefault="00265839" w:rsidP="00315D5D">
      <w:pPr>
        <w:rPr>
          <w:rFonts w:ascii="Century Gothic" w:hAnsi="Century Gothic"/>
          <w:sz w:val="18"/>
          <w:szCs w:val="18"/>
        </w:rPr>
      </w:pPr>
    </w:p>
    <w:p w14:paraId="017D67A4" w14:textId="77777777" w:rsidR="00903C71" w:rsidRPr="00903C71" w:rsidRDefault="002A06BD" w:rsidP="00315D5D">
      <w:pPr>
        <w:rPr>
          <w:rFonts w:ascii="Century Gothic" w:hAnsi="Century Gothic"/>
          <w:sz w:val="18"/>
          <w:szCs w:val="18"/>
        </w:rPr>
      </w:pPr>
      <w:r w:rsidRPr="00903C71">
        <w:rPr>
          <w:rFonts w:ascii="Century Gothic" w:hAnsi="Century Gothic"/>
          <w:sz w:val="18"/>
          <w:szCs w:val="18"/>
        </w:rPr>
        <w:t xml:space="preserve">The Oregon Court of Appeals reviewed the law relating to police inventory of impounded vehicles. </w:t>
      </w:r>
    </w:p>
    <w:p w14:paraId="1BA71D9D" w14:textId="77777777" w:rsidR="00903C71" w:rsidRPr="00903C71" w:rsidRDefault="00903C71" w:rsidP="00315D5D">
      <w:pPr>
        <w:rPr>
          <w:rFonts w:ascii="Century Gothic" w:hAnsi="Century Gothic"/>
          <w:sz w:val="18"/>
          <w:szCs w:val="18"/>
        </w:rPr>
      </w:pPr>
    </w:p>
    <w:p w14:paraId="002319CF" w14:textId="172DDD0E" w:rsidR="00903C71" w:rsidRPr="00903C71" w:rsidRDefault="00903C71" w:rsidP="00315D5D">
      <w:pPr>
        <w:rPr>
          <w:rFonts w:ascii="Century Gothic" w:hAnsi="Century Gothic"/>
          <w:sz w:val="18"/>
          <w:szCs w:val="18"/>
        </w:rPr>
      </w:pPr>
      <w:r w:rsidRPr="00903C71">
        <w:rPr>
          <w:rFonts w:ascii="Century Gothic" w:hAnsi="Century Gothic"/>
          <w:sz w:val="18"/>
          <w:szCs w:val="18"/>
        </w:rPr>
        <w:t>Article I, Section 9 of the Oregon Constitution states: that people have the right “to be secure in their persons, houses, papers, and effects, against unreasonable search, or seizure.” The question is whether the search of Ms. Fulmer’s purse was unreasonable under the state constitution.</w:t>
      </w:r>
    </w:p>
    <w:p w14:paraId="24F74508" w14:textId="77777777" w:rsidR="00903C71" w:rsidRPr="00903C71" w:rsidRDefault="00903C71" w:rsidP="00315D5D">
      <w:pPr>
        <w:rPr>
          <w:rFonts w:ascii="Century Gothic" w:hAnsi="Century Gothic"/>
          <w:sz w:val="18"/>
          <w:szCs w:val="18"/>
        </w:rPr>
      </w:pPr>
    </w:p>
    <w:p w14:paraId="0420DBDF" w14:textId="5DA1D863" w:rsidR="002A06BD" w:rsidRPr="00903C71" w:rsidRDefault="002A06BD" w:rsidP="00315D5D">
      <w:pPr>
        <w:rPr>
          <w:rFonts w:ascii="Century Gothic" w:hAnsi="Century Gothic"/>
          <w:sz w:val="18"/>
          <w:szCs w:val="18"/>
        </w:rPr>
      </w:pPr>
      <w:r w:rsidRPr="00903C71">
        <w:rPr>
          <w:rFonts w:ascii="Century Gothic" w:hAnsi="Century Gothic"/>
          <w:sz w:val="18"/>
          <w:szCs w:val="18"/>
        </w:rPr>
        <w:lastRenderedPageBreak/>
        <w:t xml:space="preserve"> The Court clarified that an inventory search is non-investigatory. That means that an officer can’t order someone to leave items in a vehicle that is being impounded, nor may they inventory items the passenger has taken with them. They also stated in their opinion that if defendant had taken her purse with her or asked to take it with her when she got out of the car, the police would not have been able to search it and thus would not have found the items in it.</w:t>
      </w:r>
    </w:p>
    <w:p w14:paraId="43689313" w14:textId="1DDF2309" w:rsidR="002A06BD" w:rsidRPr="00903C71" w:rsidRDefault="002A06BD" w:rsidP="00315D5D">
      <w:pPr>
        <w:rPr>
          <w:rFonts w:ascii="Century Gothic" w:hAnsi="Century Gothic"/>
          <w:sz w:val="18"/>
          <w:szCs w:val="18"/>
        </w:rPr>
      </w:pPr>
    </w:p>
    <w:p w14:paraId="144FCFA9" w14:textId="7439795A" w:rsidR="002A06BD" w:rsidRPr="00903C71" w:rsidRDefault="002A06BD" w:rsidP="00315D5D">
      <w:pPr>
        <w:rPr>
          <w:rFonts w:ascii="Century Gothic" w:hAnsi="Century Gothic"/>
          <w:sz w:val="18"/>
          <w:szCs w:val="18"/>
        </w:rPr>
      </w:pPr>
      <w:r w:rsidRPr="00903C71">
        <w:rPr>
          <w:rFonts w:ascii="Century Gothic" w:hAnsi="Century Gothic"/>
          <w:sz w:val="18"/>
          <w:szCs w:val="18"/>
        </w:rPr>
        <w:t>Defendant made two arguments to the Appeals Court:</w:t>
      </w:r>
    </w:p>
    <w:p w14:paraId="5BF15C18" w14:textId="77777777" w:rsidR="002A06BD" w:rsidRPr="00903C71" w:rsidRDefault="002A06BD" w:rsidP="00315D5D">
      <w:pPr>
        <w:rPr>
          <w:rFonts w:ascii="Century Gothic" w:hAnsi="Century Gothic"/>
          <w:sz w:val="18"/>
          <w:szCs w:val="18"/>
        </w:rPr>
      </w:pPr>
    </w:p>
    <w:p w14:paraId="17C5FC2F" w14:textId="20C3077A" w:rsidR="002A06BD" w:rsidRPr="00903C71" w:rsidRDefault="002A06BD" w:rsidP="00903C71">
      <w:pPr>
        <w:pStyle w:val="ListParagraph"/>
        <w:numPr>
          <w:ilvl w:val="0"/>
          <w:numId w:val="23"/>
        </w:numPr>
        <w:rPr>
          <w:rFonts w:ascii="Century Gothic" w:hAnsi="Century Gothic"/>
          <w:b/>
          <w:bCs/>
          <w:sz w:val="18"/>
          <w:szCs w:val="18"/>
        </w:rPr>
      </w:pPr>
      <w:r w:rsidRPr="00903C71">
        <w:rPr>
          <w:rFonts w:ascii="Century Gothic" w:hAnsi="Century Gothic"/>
          <w:b/>
          <w:bCs/>
          <w:sz w:val="18"/>
          <w:szCs w:val="18"/>
        </w:rPr>
        <w:t xml:space="preserve">An </w:t>
      </w:r>
      <w:r w:rsidR="00903C71" w:rsidRPr="00903C71">
        <w:rPr>
          <w:rFonts w:ascii="Century Gothic" w:hAnsi="Century Gothic"/>
          <w:b/>
          <w:bCs/>
          <w:sz w:val="18"/>
          <w:szCs w:val="18"/>
        </w:rPr>
        <w:t>“</w:t>
      </w:r>
      <w:r w:rsidRPr="00903C71">
        <w:rPr>
          <w:rFonts w:ascii="Century Gothic" w:hAnsi="Century Gothic"/>
          <w:b/>
          <w:bCs/>
          <w:sz w:val="18"/>
          <w:szCs w:val="18"/>
        </w:rPr>
        <w:t>Affirmative Duty</w:t>
      </w:r>
      <w:r w:rsidR="00903C71" w:rsidRPr="00903C71">
        <w:rPr>
          <w:rFonts w:ascii="Century Gothic" w:hAnsi="Century Gothic"/>
          <w:b/>
          <w:bCs/>
          <w:sz w:val="18"/>
          <w:szCs w:val="18"/>
        </w:rPr>
        <w:t>”</w:t>
      </w:r>
      <w:r w:rsidRPr="00903C71">
        <w:rPr>
          <w:rFonts w:ascii="Century Gothic" w:hAnsi="Century Gothic"/>
          <w:b/>
          <w:bCs/>
          <w:sz w:val="18"/>
          <w:szCs w:val="18"/>
        </w:rPr>
        <w:t xml:space="preserve"> Argument:</w:t>
      </w:r>
      <w:r w:rsidRPr="00903C71">
        <w:rPr>
          <w:rFonts w:ascii="Century Gothic" w:hAnsi="Century Gothic"/>
          <w:sz w:val="18"/>
          <w:szCs w:val="18"/>
        </w:rPr>
        <w:t xml:space="preserve"> Ms. Fulmer argued that a rule should be adopted that requires the police to ask the passenger if there are any items they want to remove from the car before they take the inventory. </w:t>
      </w:r>
      <w:r w:rsidR="00903C71" w:rsidRPr="00903C71">
        <w:rPr>
          <w:rFonts w:ascii="Century Gothic" w:hAnsi="Century Gothic"/>
          <w:sz w:val="18"/>
          <w:szCs w:val="18"/>
        </w:rPr>
        <w:t xml:space="preserve">In other words, they should have the </w:t>
      </w:r>
      <w:r w:rsidR="00903C71" w:rsidRPr="00903C71">
        <w:rPr>
          <w:rFonts w:ascii="Century Gothic" w:hAnsi="Century Gothic"/>
          <w:i/>
          <w:iCs/>
          <w:sz w:val="18"/>
          <w:szCs w:val="18"/>
        </w:rPr>
        <w:t>duty</w:t>
      </w:r>
      <w:r w:rsidR="00903C71" w:rsidRPr="00903C71">
        <w:rPr>
          <w:rFonts w:ascii="Century Gothic" w:hAnsi="Century Gothic"/>
          <w:sz w:val="18"/>
          <w:szCs w:val="18"/>
        </w:rPr>
        <w:t xml:space="preserve"> to inform before they take an inventory. </w:t>
      </w:r>
      <w:r w:rsidRPr="00903C71">
        <w:rPr>
          <w:rFonts w:ascii="Century Gothic" w:hAnsi="Century Gothic"/>
          <w:sz w:val="18"/>
          <w:szCs w:val="18"/>
        </w:rPr>
        <w:t xml:space="preserve">The Court recognized </w:t>
      </w:r>
      <w:r w:rsidR="00903C71" w:rsidRPr="00903C71">
        <w:rPr>
          <w:rFonts w:ascii="Century Gothic" w:hAnsi="Century Gothic"/>
          <w:sz w:val="18"/>
          <w:szCs w:val="18"/>
        </w:rPr>
        <w:t>that</w:t>
      </w:r>
      <w:r w:rsidRPr="00903C71">
        <w:rPr>
          <w:rFonts w:ascii="Century Gothic" w:hAnsi="Century Gothic"/>
          <w:sz w:val="18"/>
          <w:szCs w:val="18"/>
        </w:rPr>
        <w:t xml:space="preserve"> </w:t>
      </w:r>
      <w:r w:rsidR="00903C71" w:rsidRPr="00903C71">
        <w:rPr>
          <w:rFonts w:ascii="Century Gothic" w:hAnsi="Century Gothic"/>
          <w:sz w:val="18"/>
          <w:szCs w:val="18"/>
        </w:rPr>
        <w:t>there</w:t>
      </w:r>
      <w:r w:rsidRPr="00903C71">
        <w:rPr>
          <w:rFonts w:ascii="Century Gothic" w:hAnsi="Century Gothic"/>
          <w:sz w:val="18"/>
          <w:szCs w:val="18"/>
        </w:rPr>
        <w:t xml:space="preserve"> is no legally valid reason not to want people to know that they are free to remove items before a vehicle is impounded. Requiring officers to ask first, could also ease the public’s mind that inventories are just investigative searches “in disguise.” </w:t>
      </w:r>
      <w:r w:rsidRPr="00903C71">
        <w:rPr>
          <w:rFonts w:ascii="Century Gothic" w:hAnsi="Century Gothic"/>
          <w:b/>
          <w:bCs/>
          <w:sz w:val="18"/>
          <w:szCs w:val="18"/>
        </w:rPr>
        <w:t xml:space="preserve">But the question isn’t whether it’s a good idea for officers to give this warning, the question is whether the Oregon Constitution </w:t>
      </w:r>
      <w:r w:rsidRPr="00903C71">
        <w:rPr>
          <w:rFonts w:ascii="Century Gothic" w:hAnsi="Century Gothic"/>
          <w:b/>
          <w:bCs/>
          <w:i/>
          <w:iCs/>
          <w:sz w:val="18"/>
          <w:szCs w:val="18"/>
        </w:rPr>
        <w:t>requires</w:t>
      </w:r>
      <w:r w:rsidRPr="00903C71">
        <w:rPr>
          <w:rFonts w:ascii="Century Gothic" w:hAnsi="Century Gothic"/>
          <w:b/>
          <w:bCs/>
          <w:sz w:val="18"/>
          <w:szCs w:val="18"/>
        </w:rPr>
        <w:t xml:space="preserve"> them to do so.  </w:t>
      </w:r>
      <w:r w:rsidRPr="00903C71">
        <w:rPr>
          <w:rFonts w:ascii="Century Gothic" w:hAnsi="Century Gothic"/>
          <w:b/>
          <w:bCs/>
          <w:sz w:val="18"/>
          <w:szCs w:val="18"/>
        </w:rPr>
        <w:br/>
      </w:r>
    </w:p>
    <w:p w14:paraId="4B571F42" w14:textId="03944BC7" w:rsidR="002A06BD" w:rsidRPr="00903C71" w:rsidRDefault="00903C71" w:rsidP="002A06BD">
      <w:pPr>
        <w:ind w:left="720"/>
        <w:rPr>
          <w:rFonts w:ascii="Century Gothic" w:hAnsi="Century Gothic"/>
          <w:b/>
          <w:bCs/>
          <w:sz w:val="18"/>
          <w:szCs w:val="18"/>
        </w:rPr>
      </w:pPr>
      <w:r w:rsidRPr="00903C71">
        <w:rPr>
          <w:rFonts w:ascii="Century Gothic" w:hAnsi="Century Gothic"/>
          <w:sz w:val="18"/>
          <w:szCs w:val="18"/>
        </w:rPr>
        <w:t xml:space="preserve">The Appeals Court decided that though Fulmer made a thoughtful argument for a new policy, she did not persuade the Court that an inventory search of an administratively seized vehicle is unreasonable - and thus it is </w:t>
      </w:r>
      <w:r w:rsidRPr="00903C71">
        <w:rPr>
          <w:rFonts w:ascii="Century Gothic" w:hAnsi="Century Gothic"/>
          <w:sz w:val="18"/>
          <w:szCs w:val="18"/>
          <w:u w:val="single"/>
        </w:rPr>
        <w:t>not</w:t>
      </w:r>
      <w:r w:rsidRPr="00903C71">
        <w:rPr>
          <w:rFonts w:ascii="Century Gothic" w:hAnsi="Century Gothic"/>
          <w:sz w:val="18"/>
          <w:szCs w:val="18"/>
        </w:rPr>
        <w:t xml:space="preserve"> a violation of Article I, Section 9 of the Oregon Constitution.</w:t>
      </w:r>
      <w:r w:rsidR="002A06BD" w:rsidRPr="00903C71">
        <w:rPr>
          <w:rFonts w:ascii="Century Gothic" w:hAnsi="Century Gothic"/>
          <w:b/>
          <w:bCs/>
          <w:sz w:val="18"/>
          <w:szCs w:val="18"/>
        </w:rPr>
        <w:br/>
      </w:r>
    </w:p>
    <w:p w14:paraId="5ED99AC2" w14:textId="5BF0AA49" w:rsidR="002A06BD" w:rsidRPr="00903C71" w:rsidRDefault="002A06BD" w:rsidP="002A06BD">
      <w:pPr>
        <w:rPr>
          <w:rFonts w:ascii="Century Gothic" w:hAnsi="Century Gothic"/>
          <w:b/>
          <w:bCs/>
          <w:sz w:val="18"/>
          <w:szCs w:val="18"/>
        </w:rPr>
      </w:pPr>
    </w:p>
    <w:p w14:paraId="3AC19D71" w14:textId="77777777" w:rsidR="002A06BD" w:rsidRPr="00903C71" w:rsidRDefault="002A06BD" w:rsidP="002A06BD">
      <w:pPr>
        <w:rPr>
          <w:rFonts w:ascii="Century Gothic" w:hAnsi="Century Gothic"/>
          <w:b/>
          <w:bCs/>
          <w:sz w:val="18"/>
          <w:szCs w:val="18"/>
        </w:rPr>
      </w:pPr>
    </w:p>
    <w:p w14:paraId="660D6A46" w14:textId="66CC7A9E" w:rsidR="002A06BD" w:rsidRPr="00903C71" w:rsidRDefault="00903C71" w:rsidP="00903C71">
      <w:pPr>
        <w:pStyle w:val="ListParagraph"/>
        <w:numPr>
          <w:ilvl w:val="0"/>
          <w:numId w:val="23"/>
        </w:numPr>
        <w:rPr>
          <w:rFonts w:ascii="Century Gothic" w:hAnsi="Century Gothic"/>
          <w:b/>
          <w:bCs/>
          <w:sz w:val="18"/>
          <w:szCs w:val="18"/>
        </w:rPr>
      </w:pPr>
      <w:r w:rsidRPr="00903C71">
        <w:rPr>
          <w:rFonts w:ascii="Century Gothic" w:hAnsi="Century Gothic"/>
          <w:b/>
          <w:bCs/>
          <w:sz w:val="18"/>
          <w:szCs w:val="18"/>
        </w:rPr>
        <w:t xml:space="preserve">A “Reasonable Person” Argument: </w:t>
      </w:r>
      <w:r w:rsidRPr="00903C71">
        <w:rPr>
          <w:rFonts w:ascii="Century Gothic" w:hAnsi="Century Gothic"/>
          <w:sz w:val="18"/>
          <w:szCs w:val="18"/>
        </w:rPr>
        <w:t xml:space="preserve">Ms. Fulmer also argued that the seizure of her purse was unlawful because a reasonable person in her position would believe “that she was to exit the car immediately and that she was not free to reach around the car to retrieve her personal items.” She argues that by having her leave the car the way they did, she felt intimidated and assumed, as a reasonable person, that she had no choice to take her personal items with her. </w:t>
      </w:r>
    </w:p>
    <w:p w14:paraId="335F557E" w14:textId="1EBC12DC" w:rsidR="00903C71" w:rsidRPr="00903C71" w:rsidRDefault="00903C71" w:rsidP="00903C71">
      <w:pPr>
        <w:rPr>
          <w:rFonts w:ascii="Century Gothic" w:hAnsi="Century Gothic"/>
          <w:b/>
          <w:bCs/>
          <w:sz w:val="18"/>
          <w:szCs w:val="18"/>
        </w:rPr>
      </w:pPr>
    </w:p>
    <w:p w14:paraId="302C4F19" w14:textId="19A0E1EB" w:rsidR="00903C71" w:rsidRPr="00903C71" w:rsidRDefault="00903C71" w:rsidP="00903C71">
      <w:pPr>
        <w:ind w:left="720"/>
        <w:rPr>
          <w:rFonts w:ascii="Century Gothic" w:hAnsi="Century Gothic"/>
          <w:sz w:val="18"/>
          <w:szCs w:val="18"/>
        </w:rPr>
      </w:pPr>
      <w:r w:rsidRPr="00903C71">
        <w:rPr>
          <w:rFonts w:ascii="Century Gothic" w:hAnsi="Century Gothic"/>
          <w:sz w:val="18"/>
          <w:szCs w:val="18"/>
        </w:rPr>
        <w:t xml:space="preserve">The Appeals Court concluded that “the mere act of an officer asking a person who is not under arrest to step out of a car because it is being impounded, without more, is not enough to cause an objectively reasonable person to believe that they cannot remove any personal items from the car.” </w:t>
      </w:r>
    </w:p>
    <w:p w14:paraId="7BEF078D" w14:textId="1C01AF20" w:rsidR="00903C71" w:rsidRPr="00903C71" w:rsidRDefault="00903C71" w:rsidP="00903C71">
      <w:pPr>
        <w:ind w:left="720"/>
        <w:rPr>
          <w:rFonts w:ascii="Century Gothic" w:hAnsi="Century Gothic"/>
          <w:sz w:val="18"/>
          <w:szCs w:val="18"/>
        </w:rPr>
      </w:pPr>
    </w:p>
    <w:p w14:paraId="5C0FFEDF" w14:textId="6CB199A6" w:rsidR="00903C71" w:rsidRPr="00903C71" w:rsidRDefault="00903C71" w:rsidP="00903C71">
      <w:pPr>
        <w:ind w:left="720"/>
        <w:rPr>
          <w:rFonts w:ascii="Century Gothic" w:hAnsi="Century Gothic"/>
          <w:sz w:val="18"/>
          <w:szCs w:val="18"/>
        </w:rPr>
      </w:pPr>
    </w:p>
    <w:p w14:paraId="7460555C" w14:textId="4C07B75B" w:rsidR="00903C71" w:rsidRPr="00903C71" w:rsidRDefault="00903C71" w:rsidP="00903C71">
      <w:pPr>
        <w:rPr>
          <w:rFonts w:ascii="Century Gothic" w:hAnsi="Century Gothic"/>
          <w:sz w:val="18"/>
          <w:szCs w:val="18"/>
        </w:rPr>
      </w:pPr>
      <w:r w:rsidRPr="00903C71">
        <w:rPr>
          <w:rFonts w:ascii="Century Gothic" w:hAnsi="Century Gothic"/>
          <w:sz w:val="18"/>
          <w:szCs w:val="18"/>
        </w:rPr>
        <w:t xml:space="preserve">The Appeals Court majority opinion* concluded the officers did not violate Ms. Fulmer’s rights under Article I, Section 9 of the Oregon Constitution.  Ms. Fulmer appealed to the Oregon Supreme Court. </w:t>
      </w:r>
    </w:p>
    <w:p w14:paraId="0F484042" w14:textId="38CF5FA7" w:rsidR="00063A8D" w:rsidRPr="00903C71" w:rsidRDefault="00063A8D" w:rsidP="006045B7">
      <w:pPr>
        <w:rPr>
          <w:rFonts w:ascii="Century Gothic" w:hAnsi="Century Gothic"/>
          <w:sz w:val="18"/>
          <w:szCs w:val="18"/>
        </w:rPr>
      </w:pPr>
    </w:p>
    <w:p w14:paraId="0695574C" w14:textId="0EFD4E68" w:rsidR="00CF62B4" w:rsidRPr="00903C71" w:rsidRDefault="00903C71" w:rsidP="006045B7">
      <w:pPr>
        <w:rPr>
          <w:rFonts w:ascii="Century Gothic" w:hAnsi="Century Gothic"/>
          <w:sz w:val="18"/>
          <w:szCs w:val="18"/>
        </w:rPr>
      </w:pPr>
      <w:r w:rsidRPr="00903C71">
        <w:rPr>
          <w:rFonts w:ascii="Century Gothic" w:hAnsi="Century Gothic"/>
          <w:sz w:val="18"/>
          <w:szCs w:val="18"/>
        </w:rPr>
        <w:t>*The Hon. C.J. Egan dissented from the majority opinion.</w:t>
      </w:r>
    </w:p>
    <w:p w14:paraId="5CBF3BC4" w14:textId="2F64AC17" w:rsidR="00CF62B4" w:rsidRPr="00903C71" w:rsidRDefault="00CF62B4" w:rsidP="006045B7">
      <w:pPr>
        <w:rPr>
          <w:rFonts w:ascii="Century Gothic" w:hAnsi="Century Gothic"/>
          <w:sz w:val="18"/>
          <w:szCs w:val="18"/>
        </w:rPr>
      </w:pPr>
    </w:p>
    <w:p w14:paraId="442AB8AF" w14:textId="35FBF29B" w:rsidR="00CF62B4" w:rsidRPr="00903C71" w:rsidRDefault="00CF62B4" w:rsidP="006045B7">
      <w:pPr>
        <w:rPr>
          <w:rFonts w:ascii="Century Gothic" w:hAnsi="Century Gothic"/>
          <w:sz w:val="18"/>
          <w:szCs w:val="18"/>
        </w:rPr>
      </w:pPr>
    </w:p>
    <w:p w14:paraId="1D9706C4" w14:textId="45EB5A9B" w:rsidR="00CF62B4" w:rsidRDefault="00CF62B4" w:rsidP="006045B7">
      <w:pPr>
        <w:rPr>
          <w:rFonts w:ascii="Century Gothic" w:hAnsi="Century Gothic"/>
          <w:sz w:val="22"/>
          <w:szCs w:val="22"/>
        </w:rPr>
      </w:pPr>
    </w:p>
    <w:p w14:paraId="3A40899C" w14:textId="172C9164" w:rsidR="00063A8D" w:rsidRPr="00063A8D" w:rsidRDefault="00063A8D" w:rsidP="00063A8D">
      <w:pPr>
        <w:pStyle w:val="ListParagraph"/>
        <w:numPr>
          <w:ilvl w:val="0"/>
          <w:numId w:val="7"/>
        </w:numPr>
        <w:ind w:right="1476"/>
        <w:rPr>
          <w:rFonts w:ascii="Century Gothic" w:hAnsi="Century Gothic"/>
          <w:b/>
          <w:sz w:val="22"/>
          <w:szCs w:val="22"/>
        </w:rPr>
      </w:pPr>
      <w:r w:rsidRPr="00063A8D">
        <w:rPr>
          <w:rFonts w:ascii="Century Gothic" w:hAnsi="Century Gothic"/>
          <w:b/>
          <w:sz w:val="22"/>
          <w:szCs w:val="22"/>
        </w:rPr>
        <w:t>Oregon Supreme Court - Oral Argument</w:t>
      </w:r>
      <w:r w:rsidR="00CF62B4">
        <w:rPr>
          <w:rFonts w:ascii="Century Gothic" w:hAnsi="Century Gothic"/>
          <w:b/>
          <w:sz w:val="22"/>
          <w:szCs w:val="22"/>
        </w:rPr>
        <w:t>: November 13, 2019</w:t>
      </w:r>
    </w:p>
    <w:p w14:paraId="58EC09DA" w14:textId="77777777" w:rsidR="00063A8D" w:rsidRPr="00E25639" w:rsidRDefault="00063A8D" w:rsidP="00063A8D">
      <w:pPr>
        <w:ind w:right="1476"/>
        <w:rPr>
          <w:rFonts w:ascii="Century Gothic" w:hAnsi="Century Gothic"/>
          <w:sz w:val="22"/>
          <w:szCs w:val="22"/>
        </w:rPr>
      </w:pPr>
    </w:p>
    <w:p w14:paraId="39649671" w14:textId="2495A2CE" w:rsidR="00063A8D" w:rsidRPr="00903C71" w:rsidRDefault="00903C71" w:rsidP="00063A8D">
      <w:pPr>
        <w:ind w:right="-54"/>
        <w:rPr>
          <w:rFonts w:ascii="Century Gothic" w:hAnsi="Century Gothic"/>
          <w:sz w:val="18"/>
          <w:szCs w:val="18"/>
        </w:rPr>
      </w:pPr>
      <w:r w:rsidRPr="00903C71">
        <w:rPr>
          <w:rFonts w:ascii="Century Gothic" w:hAnsi="Century Gothic"/>
          <w:sz w:val="18"/>
          <w:szCs w:val="18"/>
        </w:rPr>
        <w:t>Briefs for the Supreme Court have yet to be posted on the Court’s site. Expected briefs:</w:t>
      </w:r>
    </w:p>
    <w:p w14:paraId="1D5FA203" w14:textId="78D719F7" w:rsidR="00903C71" w:rsidRPr="00903C71" w:rsidRDefault="00903C71" w:rsidP="00063A8D">
      <w:pPr>
        <w:ind w:right="-54"/>
        <w:rPr>
          <w:rFonts w:ascii="Century Gothic" w:hAnsi="Century Gothic"/>
          <w:sz w:val="18"/>
          <w:szCs w:val="18"/>
        </w:rPr>
      </w:pPr>
    </w:p>
    <w:p w14:paraId="5280707B" w14:textId="6DE926F4" w:rsidR="00903C71" w:rsidRPr="00903C71" w:rsidRDefault="00903C71" w:rsidP="00903C71">
      <w:pPr>
        <w:pStyle w:val="ListParagraph"/>
        <w:numPr>
          <w:ilvl w:val="0"/>
          <w:numId w:val="24"/>
        </w:numPr>
        <w:shd w:val="clear" w:color="auto" w:fill="FFFFFF"/>
        <w:rPr>
          <w:rFonts w:ascii="Century Gothic" w:hAnsi="Century Gothic" w:cs="Arial"/>
          <w:color w:val="000000" w:themeColor="text1"/>
          <w:sz w:val="18"/>
          <w:szCs w:val="18"/>
        </w:rPr>
      </w:pPr>
      <w:r w:rsidRPr="00903C71">
        <w:rPr>
          <w:rFonts w:ascii="Century Gothic" w:hAnsi="Century Gothic" w:cs="Arial"/>
          <w:color w:val="000000" w:themeColor="text1"/>
          <w:sz w:val="18"/>
          <w:szCs w:val="18"/>
        </w:rPr>
        <w:t xml:space="preserve">Petitioner Brief on the Merits </w:t>
      </w:r>
    </w:p>
    <w:p w14:paraId="2467FF0B" w14:textId="1E6B73F2" w:rsidR="00903C71" w:rsidRPr="00903C71" w:rsidRDefault="00903C71" w:rsidP="00903C71">
      <w:pPr>
        <w:pStyle w:val="ListParagraph"/>
        <w:numPr>
          <w:ilvl w:val="0"/>
          <w:numId w:val="24"/>
        </w:numPr>
        <w:shd w:val="clear" w:color="auto" w:fill="FFFFFF"/>
        <w:rPr>
          <w:rFonts w:ascii="Century Gothic" w:hAnsi="Century Gothic" w:cs="Arial"/>
          <w:color w:val="000000" w:themeColor="text1"/>
          <w:sz w:val="18"/>
          <w:szCs w:val="18"/>
        </w:rPr>
      </w:pPr>
      <w:r w:rsidRPr="00903C71">
        <w:rPr>
          <w:rFonts w:ascii="Century Gothic" w:hAnsi="Century Gothic" w:cs="Arial"/>
          <w:color w:val="000000" w:themeColor="text1"/>
          <w:sz w:val="18"/>
          <w:szCs w:val="18"/>
        </w:rPr>
        <w:t>Respondents Brief on the Merits </w:t>
      </w:r>
    </w:p>
    <w:p w14:paraId="44B0131A" w14:textId="1B4BC5A9" w:rsidR="00903C71" w:rsidRPr="00903C71" w:rsidRDefault="00903C71" w:rsidP="00903C71">
      <w:pPr>
        <w:pStyle w:val="ListParagraph"/>
        <w:numPr>
          <w:ilvl w:val="0"/>
          <w:numId w:val="24"/>
        </w:numPr>
        <w:shd w:val="clear" w:color="auto" w:fill="FFFFFF"/>
        <w:rPr>
          <w:rFonts w:ascii="Century Gothic" w:hAnsi="Century Gothic" w:cs="Arial"/>
          <w:color w:val="000000" w:themeColor="text1"/>
          <w:sz w:val="18"/>
          <w:szCs w:val="18"/>
        </w:rPr>
      </w:pPr>
      <w:r w:rsidRPr="00903C71">
        <w:rPr>
          <w:rFonts w:ascii="Century Gothic" w:hAnsi="Century Gothic" w:cs="Arial"/>
          <w:color w:val="000000" w:themeColor="text1"/>
          <w:sz w:val="18"/>
          <w:szCs w:val="18"/>
        </w:rPr>
        <w:t>Petitioners Reply Brief </w:t>
      </w:r>
    </w:p>
    <w:p w14:paraId="31D99893" w14:textId="77777777" w:rsidR="00903C71" w:rsidRPr="00903C71" w:rsidRDefault="00903C71" w:rsidP="00903C71">
      <w:pPr>
        <w:shd w:val="clear" w:color="auto" w:fill="FFFFFF"/>
        <w:rPr>
          <w:rFonts w:ascii="Century Gothic" w:hAnsi="Century Gothic" w:cs="Arial"/>
          <w:color w:val="000000" w:themeColor="text1"/>
          <w:sz w:val="18"/>
          <w:szCs w:val="18"/>
        </w:rPr>
      </w:pPr>
      <w:r w:rsidRPr="00903C71">
        <w:rPr>
          <w:rFonts w:ascii="Century Gothic" w:hAnsi="Century Gothic" w:cs="Arial"/>
          <w:color w:val="000000" w:themeColor="text1"/>
          <w:sz w:val="18"/>
          <w:szCs w:val="18"/>
        </w:rPr>
        <w:t> </w:t>
      </w:r>
    </w:p>
    <w:p w14:paraId="6F0C0081" w14:textId="77777777" w:rsidR="00903C71" w:rsidRPr="00903C71" w:rsidRDefault="00903C71" w:rsidP="00063A8D">
      <w:pPr>
        <w:ind w:right="-54"/>
        <w:rPr>
          <w:rFonts w:ascii="Century Gothic" w:hAnsi="Century Gothic"/>
          <w:sz w:val="18"/>
          <w:szCs w:val="18"/>
        </w:rPr>
      </w:pPr>
    </w:p>
    <w:p w14:paraId="624D1F1B" w14:textId="77777777" w:rsidR="00063A8D" w:rsidRDefault="00063A8D" w:rsidP="006045B7">
      <w:pPr>
        <w:rPr>
          <w:rFonts w:ascii="Century Gothic" w:hAnsi="Century Gothic"/>
          <w:sz w:val="22"/>
          <w:szCs w:val="22"/>
        </w:rPr>
      </w:pPr>
    </w:p>
    <w:p w14:paraId="34B99751" w14:textId="77777777" w:rsidR="00063A8D" w:rsidRDefault="00063A8D" w:rsidP="006045B7">
      <w:pPr>
        <w:rPr>
          <w:rFonts w:ascii="Century Gothic" w:hAnsi="Century Gothic"/>
          <w:sz w:val="22"/>
          <w:szCs w:val="22"/>
        </w:rPr>
      </w:pPr>
    </w:p>
    <w:p w14:paraId="3D10AD2F" w14:textId="77777777" w:rsidR="00063A8D" w:rsidRDefault="00063A8D" w:rsidP="006045B7">
      <w:pPr>
        <w:rPr>
          <w:rFonts w:ascii="Century Gothic" w:hAnsi="Century Gothic"/>
          <w:sz w:val="22"/>
          <w:szCs w:val="22"/>
        </w:rPr>
      </w:pPr>
    </w:p>
    <w:p w14:paraId="026C009D" w14:textId="13983CD9" w:rsidR="006045B7" w:rsidRDefault="003E4448" w:rsidP="00970828">
      <w:pPr>
        <w:rPr>
          <w:rFonts w:ascii="Century Gothic" w:hAnsi="Century Gothic"/>
          <w:sz w:val="22"/>
          <w:szCs w:val="22"/>
        </w:rPr>
      </w:pPr>
      <w:r w:rsidRPr="003E4448">
        <w:rPr>
          <w:rFonts w:ascii="Century Gothic" w:hAnsi="Century Gothic"/>
          <w:sz w:val="22"/>
          <w:szCs w:val="22"/>
        </w:rPr>
        <w:t xml:space="preserve"> </w:t>
      </w:r>
    </w:p>
    <w:p w14:paraId="7980D2F8" w14:textId="5E2A7350" w:rsidR="006045B7" w:rsidRDefault="006045B7" w:rsidP="006045B7">
      <w:pPr>
        <w:rPr>
          <w:rFonts w:ascii="Century Gothic" w:hAnsi="Century Gothic"/>
          <w:sz w:val="22"/>
          <w:szCs w:val="22"/>
        </w:rPr>
      </w:pPr>
    </w:p>
    <w:p w14:paraId="1D969F1A" w14:textId="36627686" w:rsidR="006045B7" w:rsidRDefault="006045B7" w:rsidP="006045B7">
      <w:pPr>
        <w:rPr>
          <w:rFonts w:ascii="Century Gothic" w:hAnsi="Century Gothic"/>
          <w:sz w:val="22"/>
          <w:szCs w:val="22"/>
        </w:rPr>
      </w:pPr>
    </w:p>
    <w:p w14:paraId="7A69B07E" w14:textId="77777777" w:rsidR="006045B7" w:rsidRPr="003E4448" w:rsidRDefault="006045B7" w:rsidP="006045B7">
      <w:pPr>
        <w:rPr>
          <w:rFonts w:ascii="Century Gothic" w:hAnsi="Century Gothic"/>
          <w:sz w:val="22"/>
          <w:szCs w:val="22"/>
        </w:rPr>
      </w:pPr>
    </w:p>
    <w:p w14:paraId="2B6A059F" w14:textId="43A4CC5B" w:rsidR="00315D5D" w:rsidRDefault="00315D5D">
      <w:pPr>
        <w:rPr>
          <w:rFonts w:ascii="Century Gothic" w:hAnsi="Century Gothic"/>
          <w:sz w:val="22"/>
          <w:szCs w:val="22"/>
        </w:rPr>
      </w:pPr>
    </w:p>
    <w:p w14:paraId="24409F32" w14:textId="5E27F65D" w:rsidR="006045B7" w:rsidRDefault="006045B7">
      <w:pPr>
        <w:rPr>
          <w:rFonts w:ascii="Century Gothic" w:hAnsi="Century Gothic"/>
          <w:sz w:val="22"/>
          <w:szCs w:val="22"/>
        </w:rPr>
      </w:pPr>
    </w:p>
    <w:p w14:paraId="41C8DBDB" w14:textId="77777777" w:rsidR="00835F2F" w:rsidRDefault="00835F2F">
      <w:pPr>
        <w:rPr>
          <w:rFonts w:ascii="Century Gothic" w:hAnsi="Century Gothic"/>
          <w:sz w:val="18"/>
          <w:szCs w:val="18"/>
        </w:rPr>
      </w:pPr>
      <w:r>
        <w:rPr>
          <w:rFonts w:ascii="Century Gothic" w:hAnsi="Century Gothic"/>
          <w:sz w:val="18"/>
          <w:szCs w:val="18"/>
        </w:rPr>
        <w:br w:type="page"/>
      </w:r>
    </w:p>
    <w:p w14:paraId="03B86DDC" w14:textId="20D26066" w:rsidR="00572467" w:rsidRPr="006045B7" w:rsidRDefault="00572467" w:rsidP="00572467">
      <w:pPr>
        <w:rPr>
          <w:rFonts w:ascii="Century Gothic" w:hAnsi="Century Gothic"/>
          <w:sz w:val="18"/>
          <w:szCs w:val="18"/>
          <w:u w:val="single"/>
        </w:rPr>
      </w:pPr>
      <w:r w:rsidRPr="006045B7">
        <w:rPr>
          <w:rFonts w:ascii="Century Gothic" w:hAnsi="Century Gothic"/>
          <w:sz w:val="18"/>
          <w:szCs w:val="18"/>
        </w:rPr>
        <w:lastRenderedPageBreak/>
        <w:t xml:space="preserve">Oregon Supreme Court Oral Arguments </w:t>
      </w:r>
      <w:r w:rsidR="00CF62B4">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Name: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p>
    <w:p w14:paraId="555B5661" w14:textId="32A31301" w:rsidR="00572467" w:rsidRPr="00970828" w:rsidRDefault="00572467" w:rsidP="00970828">
      <w:pPr>
        <w:rPr>
          <w:rFonts w:ascii="Century Gothic" w:hAnsi="Century Gothic"/>
          <w:sz w:val="18"/>
          <w:szCs w:val="18"/>
        </w:rPr>
      </w:pPr>
      <w:r w:rsidRPr="00970828">
        <w:rPr>
          <w:rFonts w:ascii="Century Gothic" w:hAnsi="Century Gothic"/>
          <w:sz w:val="18"/>
          <w:szCs w:val="18"/>
        </w:rPr>
        <w:t>Preparation Materials for Oral Arguments</w:t>
      </w:r>
    </w:p>
    <w:p w14:paraId="2C0DAFB1" w14:textId="2D94BA67" w:rsidR="00572467" w:rsidRPr="00572467" w:rsidRDefault="00572467" w:rsidP="00572467">
      <w:pPr>
        <w:pStyle w:val="ListParagraph"/>
        <w:rPr>
          <w:rFonts w:ascii="Century Gothic" w:hAnsi="Century Gothic"/>
          <w:sz w:val="18"/>
          <w:szCs w:val="18"/>
        </w:rPr>
      </w:pPr>
      <w:r>
        <w:rPr>
          <w:rFonts w:ascii="Century Gothic" w:hAnsi="Century Gothic"/>
          <w:sz w:val="18"/>
          <w:szCs w:val="18"/>
        </w:rPr>
        <w:t xml:space="preserve">   Case #1</w:t>
      </w:r>
    </w:p>
    <w:p w14:paraId="2419D4B9" w14:textId="77777777" w:rsidR="00572467" w:rsidRDefault="00572467" w:rsidP="00572467">
      <w:pPr>
        <w:rPr>
          <w:rFonts w:ascii="Century Gothic" w:hAnsi="Century Gothic"/>
          <w:sz w:val="22"/>
          <w:szCs w:val="22"/>
        </w:rPr>
      </w:pPr>
    </w:p>
    <w:p w14:paraId="0E027242" w14:textId="77777777" w:rsidR="00572467" w:rsidRDefault="00572467" w:rsidP="00572467">
      <w:pPr>
        <w:rPr>
          <w:rFonts w:ascii="Century Gothic" w:hAnsi="Century Gothic"/>
          <w:sz w:val="22"/>
          <w:szCs w:val="22"/>
        </w:rPr>
      </w:pPr>
    </w:p>
    <w:p w14:paraId="0EE61889" w14:textId="77777777" w:rsidR="00572467" w:rsidRPr="00572467" w:rsidRDefault="00572467" w:rsidP="00572467">
      <w:pPr>
        <w:jc w:val="center"/>
        <w:rPr>
          <w:rFonts w:ascii="Century Gothic" w:hAnsi="Century Gothic"/>
          <w:b/>
          <w:sz w:val="28"/>
          <w:szCs w:val="28"/>
        </w:rPr>
      </w:pPr>
      <w:r w:rsidRPr="00572467">
        <w:rPr>
          <w:rFonts w:ascii="Century Gothic" w:hAnsi="Century Gothic"/>
          <w:b/>
          <w:sz w:val="28"/>
          <w:szCs w:val="28"/>
        </w:rPr>
        <w:t>Preparing to Observe Oral Arguments</w:t>
      </w:r>
    </w:p>
    <w:p w14:paraId="2C47E8FB" w14:textId="77777777" w:rsidR="00572467" w:rsidRDefault="00572467" w:rsidP="00572467">
      <w:pPr>
        <w:rPr>
          <w:rFonts w:ascii="Century Gothic" w:hAnsi="Century Gothic"/>
          <w:sz w:val="22"/>
          <w:szCs w:val="22"/>
        </w:rPr>
      </w:pPr>
    </w:p>
    <w:p w14:paraId="5DC1BB46" w14:textId="1465ABE5" w:rsidR="00572467" w:rsidRPr="008E1D50" w:rsidRDefault="00CF62B4" w:rsidP="00572467">
      <w:pPr>
        <w:jc w:val="center"/>
        <w:rPr>
          <w:rFonts w:ascii="Century Gothic" w:hAnsi="Century Gothic"/>
          <w:i/>
          <w:sz w:val="22"/>
          <w:szCs w:val="22"/>
        </w:rPr>
      </w:pPr>
      <w:r>
        <w:rPr>
          <w:rFonts w:ascii="Century Gothic" w:hAnsi="Century Gothic"/>
          <w:i/>
          <w:sz w:val="22"/>
          <w:szCs w:val="22"/>
        </w:rPr>
        <w:t xml:space="preserve">Olivia </w:t>
      </w:r>
      <w:proofErr w:type="spellStart"/>
      <w:r>
        <w:rPr>
          <w:rFonts w:ascii="Century Gothic" w:hAnsi="Century Gothic"/>
          <w:i/>
          <w:sz w:val="22"/>
          <w:szCs w:val="22"/>
        </w:rPr>
        <w:t>Chernaik</w:t>
      </w:r>
      <w:proofErr w:type="spellEnd"/>
      <w:r>
        <w:rPr>
          <w:rFonts w:ascii="Century Gothic" w:hAnsi="Century Gothic"/>
          <w:i/>
          <w:sz w:val="22"/>
          <w:szCs w:val="22"/>
        </w:rPr>
        <w:t xml:space="preserve"> </w:t>
      </w:r>
    </w:p>
    <w:p w14:paraId="6C3A6151" w14:textId="77777777" w:rsidR="00572467" w:rsidRPr="008E1D50" w:rsidRDefault="00572467" w:rsidP="00572467">
      <w:pPr>
        <w:jc w:val="center"/>
        <w:rPr>
          <w:rFonts w:ascii="Century Gothic" w:hAnsi="Century Gothic"/>
          <w:i/>
          <w:sz w:val="22"/>
          <w:szCs w:val="22"/>
        </w:rPr>
      </w:pPr>
      <w:r w:rsidRPr="008E1D50">
        <w:rPr>
          <w:rFonts w:ascii="Century Gothic" w:hAnsi="Century Gothic"/>
          <w:i/>
          <w:sz w:val="22"/>
          <w:szCs w:val="22"/>
        </w:rPr>
        <w:t>v.</w:t>
      </w:r>
    </w:p>
    <w:p w14:paraId="16B4480E" w14:textId="7CAB765C" w:rsidR="00572467" w:rsidRPr="008E1D50" w:rsidRDefault="00CF62B4" w:rsidP="00CF62B4">
      <w:pPr>
        <w:jc w:val="center"/>
        <w:rPr>
          <w:rFonts w:ascii="Century Gothic" w:hAnsi="Century Gothic"/>
          <w:i/>
          <w:sz w:val="22"/>
          <w:szCs w:val="22"/>
        </w:rPr>
      </w:pPr>
      <w:r>
        <w:rPr>
          <w:rFonts w:ascii="Century Gothic" w:hAnsi="Century Gothic"/>
          <w:i/>
          <w:sz w:val="22"/>
          <w:szCs w:val="22"/>
        </w:rPr>
        <w:t>Kate Brown &amp; State of Oregon</w:t>
      </w:r>
    </w:p>
    <w:p w14:paraId="1D3CFCA8" w14:textId="56624E81" w:rsidR="00572467" w:rsidRPr="00572467" w:rsidRDefault="00572467" w:rsidP="00572467">
      <w:pPr>
        <w:jc w:val="center"/>
        <w:rPr>
          <w:rFonts w:ascii="Century Gothic" w:hAnsi="Century Gothic"/>
          <w:b/>
          <w:sz w:val="22"/>
          <w:szCs w:val="22"/>
        </w:rPr>
      </w:pPr>
      <w:r w:rsidRPr="00572467">
        <w:rPr>
          <w:rFonts w:ascii="Century Gothic" w:hAnsi="Century Gothic" w:cs="Arial"/>
          <w:b/>
          <w:sz w:val="22"/>
          <w:szCs w:val="22"/>
        </w:rPr>
        <w:t xml:space="preserve">Supreme Court Case </w:t>
      </w:r>
      <w:r w:rsidR="00CF62B4" w:rsidRPr="00CF62B4">
        <w:rPr>
          <w:rFonts w:ascii="Century Gothic" w:eastAsiaTheme="minorHAnsi" w:hAnsi="Century Gothic"/>
          <w:b/>
          <w:bCs/>
          <w:sz w:val="22"/>
          <w:szCs w:val="22"/>
        </w:rPr>
        <w:t>S066564</w:t>
      </w:r>
    </w:p>
    <w:p w14:paraId="47B57C04" w14:textId="77777777" w:rsidR="00572467" w:rsidRPr="00572467" w:rsidRDefault="00572467" w:rsidP="00572467">
      <w:pPr>
        <w:rPr>
          <w:rFonts w:ascii="Century Gothic" w:hAnsi="Century Gothic" w:cs="Arial"/>
          <w:sz w:val="20"/>
        </w:rPr>
      </w:pPr>
    </w:p>
    <w:p w14:paraId="18638E21" w14:textId="77777777" w:rsidR="00572467" w:rsidRPr="00572467" w:rsidRDefault="00572467" w:rsidP="00572467">
      <w:pPr>
        <w:rPr>
          <w:rFonts w:ascii="Century Gothic" w:hAnsi="Century Gothic" w:cs="Arial"/>
          <w:sz w:val="20"/>
        </w:rPr>
      </w:pPr>
    </w:p>
    <w:p w14:paraId="3E505850" w14:textId="77777777" w:rsidR="00572467" w:rsidRPr="00572467" w:rsidRDefault="00572467" w:rsidP="00572467">
      <w:pPr>
        <w:rPr>
          <w:rFonts w:ascii="Century Gothic" w:hAnsi="Century Gothic" w:cs="Arial"/>
          <w:sz w:val="18"/>
          <w:szCs w:val="18"/>
        </w:rPr>
      </w:pPr>
    </w:p>
    <w:p w14:paraId="2B58C41D"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 xml:space="preserve">What are the </w:t>
      </w:r>
      <w:r w:rsidRPr="00572467">
        <w:rPr>
          <w:rFonts w:ascii="Century Gothic" w:hAnsi="Century Gothic" w:cs="Arial"/>
          <w:b/>
          <w:sz w:val="18"/>
          <w:szCs w:val="18"/>
        </w:rPr>
        <w:t>FACTS</w:t>
      </w:r>
      <w:r w:rsidRPr="00572467">
        <w:rPr>
          <w:rFonts w:ascii="Century Gothic" w:hAnsi="Century Gothic" w:cs="Arial"/>
          <w:sz w:val="18"/>
          <w:szCs w:val="18"/>
        </w:rPr>
        <w:t xml:space="preserve"> of the case (what’s the story behind the lawsuit?)?</w:t>
      </w:r>
    </w:p>
    <w:p w14:paraId="07685837" w14:textId="77777777" w:rsidR="00572467" w:rsidRPr="00572467" w:rsidRDefault="00572467" w:rsidP="00572467">
      <w:pPr>
        <w:rPr>
          <w:rFonts w:ascii="Century Gothic" w:hAnsi="Century Gothic" w:cs="Arial"/>
          <w:sz w:val="18"/>
          <w:szCs w:val="18"/>
        </w:rPr>
      </w:pPr>
    </w:p>
    <w:p w14:paraId="490CFAFD"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1.</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t xml:space="preserve"> </w:t>
      </w:r>
      <w:r w:rsidRPr="00572467">
        <w:rPr>
          <w:rFonts w:ascii="Century Gothic" w:hAnsi="Century Gothic" w:cs="Arial"/>
          <w:sz w:val="18"/>
          <w:szCs w:val="18"/>
        </w:rPr>
        <w:tab/>
      </w:r>
      <w:r w:rsidRPr="00572467">
        <w:rPr>
          <w:rFonts w:ascii="Century Gothic" w:hAnsi="Century Gothic" w:cs="Arial"/>
          <w:sz w:val="18"/>
          <w:szCs w:val="18"/>
        </w:rPr>
        <w:tab/>
        <w:t>6.</w:t>
      </w:r>
    </w:p>
    <w:p w14:paraId="1205A0EB" w14:textId="77777777" w:rsidR="00572467" w:rsidRDefault="00572467" w:rsidP="00572467">
      <w:pPr>
        <w:rPr>
          <w:rFonts w:ascii="Century Gothic" w:hAnsi="Century Gothic" w:cs="Arial"/>
          <w:sz w:val="18"/>
          <w:szCs w:val="18"/>
        </w:rPr>
      </w:pPr>
    </w:p>
    <w:p w14:paraId="7CFB0526" w14:textId="77777777" w:rsidR="00572467" w:rsidRPr="00572467" w:rsidRDefault="00572467" w:rsidP="00572467">
      <w:pPr>
        <w:rPr>
          <w:rFonts w:ascii="Century Gothic" w:hAnsi="Century Gothic" w:cs="Arial"/>
          <w:sz w:val="18"/>
          <w:szCs w:val="18"/>
        </w:rPr>
      </w:pPr>
    </w:p>
    <w:p w14:paraId="45018255"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2.</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t>7.</w:t>
      </w:r>
    </w:p>
    <w:p w14:paraId="65F1D6B6" w14:textId="77777777" w:rsidR="00572467" w:rsidRDefault="00572467" w:rsidP="00572467">
      <w:pPr>
        <w:rPr>
          <w:rFonts w:ascii="Century Gothic" w:hAnsi="Century Gothic" w:cs="Arial"/>
          <w:sz w:val="18"/>
          <w:szCs w:val="18"/>
        </w:rPr>
      </w:pPr>
    </w:p>
    <w:p w14:paraId="09C6EA2C" w14:textId="77777777" w:rsidR="00572467" w:rsidRPr="00572467" w:rsidRDefault="00572467" w:rsidP="00572467">
      <w:pPr>
        <w:rPr>
          <w:rFonts w:ascii="Century Gothic" w:hAnsi="Century Gothic" w:cs="Arial"/>
          <w:sz w:val="18"/>
          <w:szCs w:val="18"/>
        </w:rPr>
      </w:pPr>
    </w:p>
    <w:p w14:paraId="2F125C99"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3.</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t>8.</w:t>
      </w:r>
    </w:p>
    <w:p w14:paraId="6E771F6A" w14:textId="77777777" w:rsidR="00572467" w:rsidRDefault="00572467" w:rsidP="00572467">
      <w:pPr>
        <w:rPr>
          <w:rFonts w:ascii="Century Gothic" w:hAnsi="Century Gothic" w:cs="Arial"/>
          <w:sz w:val="18"/>
          <w:szCs w:val="18"/>
        </w:rPr>
      </w:pPr>
    </w:p>
    <w:p w14:paraId="6AFD0A6F" w14:textId="77777777" w:rsidR="00572467" w:rsidRPr="00572467" w:rsidRDefault="00572467" w:rsidP="00572467">
      <w:pPr>
        <w:rPr>
          <w:rFonts w:ascii="Century Gothic" w:hAnsi="Century Gothic" w:cs="Arial"/>
          <w:sz w:val="18"/>
          <w:szCs w:val="18"/>
        </w:rPr>
      </w:pPr>
    </w:p>
    <w:p w14:paraId="088637F1"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4.</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t>9.</w:t>
      </w:r>
    </w:p>
    <w:p w14:paraId="201CD685" w14:textId="77777777" w:rsidR="00572467" w:rsidRDefault="00572467" w:rsidP="00572467">
      <w:pPr>
        <w:rPr>
          <w:rFonts w:ascii="Century Gothic" w:hAnsi="Century Gothic" w:cs="Arial"/>
          <w:sz w:val="18"/>
          <w:szCs w:val="18"/>
        </w:rPr>
      </w:pPr>
    </w:p>
    <w:p w14:paraId="0D5E681D" w14:textId="77777777" w:rsidR="00572467" w:rsidRPr="00572467" w:rsidRDefault="00572467" w:rsidP="00572467">
      <w:pPr>
        <w:rPr>
          <w:rFonts w:ascii="Century Gothic" w:hAnsi="Century Gothic" w:cs="Arial"/>
          <w:sz w:val="18"/>
          <w:szCs w:val="18"/>
        </w:rPr>
      </w:pPr>
    </w:p>
    <w:p w14:paraId="79CCD20F"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5.</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t>10.</w:t>
      </w:r>
    </w:p>
    <w:p w14:paraId="41A38C20" w14:textId="77777777" w:rsidR="00572467" w:rsidRDefault="00572467" w:rsidP="00572467">
      <w:pPr>
        <w:rPr>
          <w:rFonts w:ascii="Century Gothic" w:hAnsi="Century Gothic" w:cs="Arial"/>
          <w:sz w:val="18"/>
          <w:szCs w:val="18"/>
        </w:rPr>
      </w:pPr>
    </w:p>
    <w:p w14:paraId="3A437913" w14:textId="77777777" w:rsidR="00572467" w:rsidRDefault="00572467" w:rsidP="00572467">
      <w:pPr>
        <w:rPr>
          <w:rFonts w:ascii="Century Gothic" w:hAnsi="Century Gothic" w:cs="Arial"/>
          <w:sz w:val="18"/>
          <w:szCs w:val="18"/>
        </w:rPr>
      </w:pPr>
    </w:p>
    <w:p w14:paraId="49889263" w14:textId="77777777" w:rsidR="00572467" w:rsidRDefault="00572467" w:rsidP="00572467">
      <w:pPr>
        <w:rPr>
          <w:rFonts w:ascii="Century Gothic" w:hAnsi="Century Gothic" w:cs="Arial"/>
          <w:sz w:val="18"/>
          <w:szCs w:val="18"/>
        </w:rPr>
      </w:pPr>
    </w:p>
    <w:p w14:paraId="1764BA8E" w14:textId="77777777" w:rsidR="00572467" w:rsidRDefault="00572467" w:rsidP="00572467">
      <w:pPr>
        <w:rPr>
          <w:rFonts w:ascii="Century Gothic" w:hAnsi="Century Gothic" w:cs="Arial"/>
          <w:sz w:val="18"/>
          <w:szCs w:val="18"/>
        </w:rPr>
      </w:pPr>
    </w:p>
    <w:p w14:paraId="0E55A438"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 xml:space="preserve">What </w:t>
      </w:r>
      <w:r>
        <w:rPr>
          <w:rFonts w:ascii="Century Gothic" w:hAnsi="Century Gothic" w:cs="Arial"/>
          <w:sz w:val="18"/>
          <w:szCs w:val="18"/>
        </w:rPr>
        <w:t>is the Petitioner asking the Court to decide</w:t>
      </w:r>
      <w:r w:rsidRPr="00572467">
        <w:rPr>
          <w:rFonts w:ascii="Century Gothic" w:hAnsi="Century Gothic" w:cs="Arial"/>
          <w:sz w:val="18"/>
          <w:szCs w:val="18"/>
        </w:rPr>
        <w:t>?</w:t>
      </w:r>
    </w:p>
    <w:p w14:paraId="0689A887" w14:textId="77777777" w:rsidR="00572467" w:rsidRPr="00572467" w:rsidRDefault="00572467" w:rsidP="00572467">
      <w:pPr>
        <w:rPr>
          <w:rFonts w:ascii="Century Gothic" w:hAnsi="Century Gothic" w:cs="Arial"/>
          <w:sz w:val="18"/>
          <w:szCs w:val="18"/>
        </w:rPr>
      </w:pPr>
    </w:p>
    <w:p w14:paraId="6A12EEA6" w14:textId="77777777" w:rsidR="00572467" w:rsidRDefault="00572467" w:rsidP="00572467">
      <w:pPr>
        <w:rPr>
          <w:rFonts w:ascii="Century Gothic" w:hAnsi="Century Gothic" w:cs="Arial"/>
          <w:sz w:val="18"/>
          <w:szCs w:val="18"/>
        </w:rPr>
      </w:pPr>
    </w:p>
    <w:p w14:paraId="735A4B91" w14:textId="77777777" w:rsidR="00572467" w:rsidRDefault="00572467" w:rsidP="00572467">
      <w:pPr>
        <w:rPr>
          <w:rFonts w:ascii="Century Gothic" w:hAnsi="Century Gothic" w:cs="Arial"/>
          <w:sz w:val="18"/>
          <w:szCs w:val="18"/>
        </w:rPr>
      </w:pPr>
    </w:p>
    <w:p w14:paraId="6A11DDC7" w14:textId="77777777" w:rsidR="00572467" w:rsidRDefault="00572467" w:rsidP="00572467">
      <w:pPr>
        <w:rPr>
          <w:rFonts w:ascii="Century Gothic" w:hAnsi="Century Gothic" w:cs="Arial"/>
          <w:sz w:val="18"/>
          <w:szCs w:val="18"/>
        </w:rPr>
      </w:pPr>
    </w:p>
    <w:p w14:paraId="4A760EE8" w14:textId="77777777" w:rsidR="00572467" w:rsidRDefault="00572467" w:rsidP="00572467">
      <w:pPr>
        <w:rPr>
          <w:rFonts w:ascii="Century Gothic" w:hAnsi="Century Gothic" w:cs="Arial"/>
          <w:sz w:val="18"/>
          <w:szCs w:val="18"/>
        </w:rPr>
      </w:pPr>
    </w:p>
    <w:p w14:paraId="2E26BE89" w14:textId="77777777" w:rsidR="00572467" w:rsidRDefault="00572467" w:rsidP="00572467">
      <w:pPr>
        <w:rPr>
          <w:rFonts w:ascii="Century Gothic" w:hAnsi="Century Gothic" w:cs="Arial"/>
          <w:sz w:val="18"/>
          <w:szCs w:val="18"/>
        </w:rPr>
      </w:pPr>
    </w:p>
    <w:p w14:paraId="1F6868F6" w14:textId="77777777" w:rsidR="00572467" w:rsidRPr="00572467" w:rsidRDefault="00572467" w:rsidP="00572467">
      <w:pPr>
        <w:rPr>
          <w:rFonts w:ascii="Century Gothic" w:hAnsi="Century Gothic" w:cs="Arial"/>
          <w:sz w:val="18"/>
          <w:szCs w:val="18"/>
        </w:rPr>
      </w:pPr>
      <w:r>
        <w:rPr>
          <w:rFonts w:ascii="Century Gothic" w:hAnsi="Century Gothic" w:cs="Arial"/>
          <w:sz w:val="18"/>
          <w:szCs w:val="18"/>
        </w:rPr>
        <w:t>What is the Respondent asking the Court to decide?</w:t>
      </w:r>
    </w:p>
    <w:p w14:paraId="038F5B05" w14:textId="77777777" w:rsidR="00572467" w:rsidRPr="00572467" w:rsidRDefault="00572467" w:rsidP="00572467">
      <w:pPr>
        <w:rPr>
          <w:rFonts w:ascii="Century Gothic" w:hAnsi="Century Gothic" w:cs="Arial"/>
          <w:sz w:val="18"/>
          <w:szCs w:val="18"/>
        </w:rPr>
      </w:pPr>
    </w:p>
    <w:p w14:paraId="2DA38464" w14:textId="77777777" w:rsidR="00572467" w:rsidRPr="00572467" w:rsidRDefault="00572467" w:rsidP="00572467">
      <w:pPr>
        <w:rPr>
          <w:rFonts w:ascii="Century Gothic" w:hAnsi="Century Gothic" w:cs="Arial"/>
          <w:sz w:val="18"/>
          <w:szCs w:val="18"/>
        </w:rPr>
      </w:pPr>
    </w:p>
    <w:p w14:paraId="751AC54B" w14:textId="77777777" w:rsidR="00572467" w:rsidRDefault="00572467" w:rsidP="00572467">
      <w:pPr>
        <w:rPr>
          <w:rFonts w:ascii="Century Gothic" w:hAnsi="Century Gothic" w:cs="Arial"/>
          <w:sz w:val="18"/>
          <w:szCs w:val="18"/>
        </w:rPr>
      </w:pPr>
    </w:p>
    <w:p w14:paraId="1F0FCDB4" w14:textId="77777777" w:rsidR="00572467" w:rsidRDefault="00572467" w:rsidP="00572467">
      <w:pPr>
        <w:rPr>
          <w:rFonts w:ascii="Century Gothic" w:hAnsi="Century Gothic" w:cs="Arial"/>
          <w:sz w:val="18"/>
          <w:szCs w:val="18"/>
        </w:rPr>
      </w:pPr>
    </w:p>
    <w:p w14:paraId="3C5324D1" w14:textId="77777777" w:rsidR="00572467" w:rsidRDefault="00572467" w:rsidP="00572467">
      <w:pPr>
        <w:rPr>
          <w:rFonts w:ascii="Century Gothic" w:hAnsi="Century Gothic" w:cs="Arial"/>
          <w:sz w:val="18"/>
          <w:szCs w:val="18"/>
        </w:rPr>
      </w:pPr>
    </w:p>
    <w:p w14:paraId="5CB84921" w14:textId="77777777" w:rsidR="00572467" w:rsidRDefault="00572467" w:rsidP="00572467">
      <w:pPr>
        <w:rPr>
          <w:rFonts w:ascii="Century Gothic" w:hAnsi="Century Gothic" w:cs="Arial"/>
          <w:sz w:val="18"/>
          <w:szCs w:val="18"/>
        </w:rPr>
      </w:pPr>
    </w:p>
    <w:p w14:paraId="24DA63B6" w14:textId="77777777" w:rsidR="00572467" w:rsidRDefault="00572467" w:rsidP="00572467">
      <w:pPr>
        <w:rPr>
          <w:rFonts w:ascii="Century Gothic" w:hAnsi="Century Gothic" w:cs="Arial"/>
          <w:sz w:val="18"/>
          <w:szCs w:val="18"/>
        </w:rPr>
      </w:pPr>
      <w:r>
        <w:rPr>
          <w:rFonts w:ascii="Century Gothic" w:hAnsi="Century Gothic" w:cs="Arial"/>
          <w:sz w:val="18"/>
          <w:szCs w:val="18"/>
        </w:rPr>
        <w:t>What is the key part of the law that must be decided by the Court?</w:t>
      </w:r>
    </w:p>
    <w:p w14:paraId="69300618" w14:textId="77777777" w:rsidR="00572467" w:rsidRDefault="00572467" w:rsidP="00572467">
      <w:pPr>
        <w:rPr>
          <w:rFonts w:ascii="Century Gothic" w:hAnsi="Century Gothic" w:cs="Arial"/>
          <w:sz w:val="18"/>
          <w:szCs w:val="18"/>
        </w:rPr>
      </w:pPr>
    </w:p>
    <w:p w14:paraId="7266C3C5" w14:textId="77777777" w:rsidR="00572467" w:rsidRDefault="00572467" w:rsidP="00572467">
      <w:pPr>
        <w:rPr>
          <w:rFonts w:ascii="Century Gothic" w:hAnsi="Century Gothic" w:cs="Arial"/>
          <w:sz w:val="18"/>
          <w:szCs w:val="18"/>
        </w:rPr>
      </w:pPr>
    </w:p>
    <w:p w14:paraId="6B7162D6" w14:textId="77777777" w:rsidR="00572467" w:rsidRDefault="00572467" w:rsidP="00572467">
      <w:pPr>
        <w:rPr>
          <w:rFonts w:ascii="Century Gothic" w:hAnsi="Century Gothic" w:cs="Arial"/>
          <w:sz w:val="18"/>
          <w:szCs w:val="18"/>
        </w:rPr>
      </w:pPr>
    </w:p>
    <w:p w14:paraId="77E998C3" w14:textId="77777777" w:rsidR="00572467" w:rsidRDefault="00572467" w:rsidP="00572467">
      <w:pPr>
        <w:rPr>
          <w:rFonts w:ascii="Century Gothic" w:hAnsi="Century Gothic" w:cs="Arial"/>
          <w:sz w:val="18"/>
          <w:szCs w:val="18"/>
        </w:rPr>
      </w:pPr>
    </w:p>
    <w:p w14:paraId="579655C4" w14:textId="77777777" w:rsidR="00572467" w:rsidRDefault="00572467" w:rsidP="00572467">
      <w:pPr>
        <w:rPr>
          <w:rFonts w:ascii="Century Gothic" w:hAnsi="Century Gothic" w:cs="Arial"/>
          <w:sz w:val="18"/>
          <w:szCs w:val="18"/>
        </w:rPr>
      </w:pPr>
    </w:p>
    <w:p w14:paraId="3D6533D1" w14:textId="77777777" w:rsidR="00572467" w:rsidRDefault="00572467" w:rsidP="00572467">
      <w:pPr>
        <w:rPr>
          <w:rFonts w:ascii="Century Gothic" w:hAnsi="Century Gothic" w:cs="Arial"/>
          <w:sz w:val="18"/>
          <w:szCs w:val="18"/>
        </w:rPr>
      </w:pPr>
    </w:p>
    <w:p w14:paraId="6E81BD2D" w14:textId="77777777" w:rsidR="00572467" w:rsidRPr="00572467" w:rsidRDefault="00572467" w:rsidP="00572467">
      <w:pPr>
        <w:rPr>
          <w:rFonts w:ascii="Century Gothic" w:hAnsi="Century Gothic" w:cs="Arial"/>
          <w:sz w:val="20"/>
        </w:rPr>
      </w:pPr>
      <w:r w:rsidRPr="00572467">
        <w:rPr>
          <w:rFonts w:ascii="Century Gothic" w:hAnsi="Century Gothic" w:cs="Arial"/>
          <w:sz w:val="20"/>
        </w:rPr>
        <w:t>What questions do you have about the case, or what facts do you want clarified?</w:t>
      </w:r>
    </w:p>
    <w:p w14:paraId="4943A6BF" w14:textId="77777777" w:rsidR="00572467" w:rsidRPr="00572467" w:rsidRDefault="00572467" w:rsidP="00572467">
      <w:pPr>
        <w:ind w:left="360"/>
        <w:rPr>
          <w:rFonts w:ascii="Century Gothic" w:hAnsi="Century Gothic" w:cs="Arial"/>
          <w:i/>
          <w:sz w:val="18"/>
          <w:szCs w:val="18"/>
        </w:rPr>
      </w:pPr>
      <w:r w:rsidRPr="00572467">
        <w:rPr>
          <w:rFonts w:ascii="Century Gothic" w:hAnsi="Century Gothic" w:cs="Arial"/>
          <w:i/>
          <w:sz w:val="18"/>
          <w:szCs w:val="18"/>
        </w:rPr>
        <w:t>(you will not be able to ask the Court questions specifically about the cases - this is to prepare you to observe whether your questions get answered in the course of the Oral Arguments)</w:t>
      </w:r>
    </w:p>
    <w:p w14:paraId="024368E7" w14:textId="77777777" w:rsidR="00572467" w:rsidRPr="00062DFC" w:rsidRDefault="00572467" w:rsidP="00572467">
      <w:pPr>
        <w:rPr>
          <w:rFonts w:ascii="Palatino Linotype" w:hAnsi="Palatino Linotype" w:cs="Arial"/>
          <w:sz w:val="20"/>
        </w:rPr>
      </w:pPr>
    </w:p>
    <w:p w14:paraId="6F1C1BA4" w14:textId="77777777" w:rsidR="00572467" w:rsidRPr="00062DFC" w:rsidRDefault="00572467" w:rsidP="00572467">
      <w:pPr>
        <w:rPr>
          <w:rFonts w:ascii="Palatino Linotype" w:hAnsi="Palatino Linotype" w:cs="Arial"/>
          <w:sz w:val="20"/>
        </w:rPr>
      </w:pPr>
    </w:p>
    <w:p w14:paraId="245D457D" w14:textId="77777777" w:rsidR="00572467" w:rsidRPr="00062DFC" w:rsidRDefault="00572467" w:rsidP="00572467">
      <w:pPr>
        <w:rPr>
          <w:rFonts w:ascii="Palatino Linotype" w:hAnsi="Palatino Linotype" w:cs="Arial"/>
          <w:sz w:val="20"/>
        </w:rPr>
      </w:pPr>
    </w:p>
    <w:p w14:paraId="7145457E" w14:textId="7926FCC8" w:rsidR="00572467" w:rsidRPr="006045B7" w:rsidRDefault="00970828" w:rsidP="00572467">
      <w:pPr>
        <w:rPr>
          <w:rFonts w:ascii="Century Gothic" w:hAnsi="Century Gothic"/>
          <w:sz w:val="18"/>
          <w:szCs w:val="18"/>
          <w:u w:val="single"/>
        </w:rPr>
      </w:pPr>
      <w:r>
        <w:rPr>
          <w:rFonts w:ascii="Century Gothic" w:hAnsi="Century Gothic"/>
          <w:sz w:val="18"/>
          <w:szCs w:val="18"/>
        </w:rPr>
        <w:br w:type="page"/>
      </w:r>
      <w:r w:rsidR="00572467" w:rsidRPr="006045B7">
        <w:rPr>
          <w:rFonts w:ascii="Century Gothic" w:hAnsi="Century Gothic"/>
          <w:sz w:val="18"/>
          <w:szCs w:val="18"/>
        </w:rPr>
        <w:lastRenderedPageBreak/>
        <w:t xml:space="preserve">Oregon Supreme Court Oral Arguments </w:t>
      </w:r>
      <w:r w:rsidR="00CF62B4">
        <w:rPr>
          <w:rFonts w:ascii="Century Gothic" w:hAnsi="Century Gothic"/>
          <w:sz w:val="18"/>
          <w:szCs w:val="18"/>
        </w:rPr>
        <w:tab/>
      </w:r>
      <w:r w:rsidR="00572467">
        <w:rPr>
          <w:rFonts w:ascii="Century Gothic" w:hAnsi="Century Gothic"/>
          <w:sz w:val="18"/>
          <w:szCs w:val="18"/>
        </w:rPr>
        <w:tab/>
      </w:r>
      <w:r w:rsidR="00572467">
        <w:rPr>
          <w:rFonts w:ascii="Century Gothic" w:hAnsi="Century Gothic"/>
          <w:sz w:val="18"/>
          <w:szCs w:val="18"/>
        </w:rPr>
        <w:tab/>
        <w:t xml:space="preserve">Name: </w:t>
      </w:r>
      <w:r w:rsidR="00572467">
        <w:rPr>
          <w:rFonts w:ascii="Century Gothic" w:hAnsi="Century Gothic"/>
          <w:sz w:val="18"/>
          <w:szCs w:val="18"/>
          <w:u w:val="single"/>
        </w:rPr>
        <w:tab/>
      </w:r>
      <w:r w:rsidR="00572467">
        <w:rPr>
          <w:rFonts w:ascii="Century Gothic" w:hAnsi="Century Gothic"/>
          <w:sz w:val="18"/>
          <w:szCs w:val="18"/>
          <w:u w:val="single"/>
        </w:rPr>
        <w:tab/>
      </w:r>
      <w:r w:rsidR="00572467">
        <w:rPr>
          <w:rFonts w:ascii="Century Gothic" w:hAnsi="Century Gothic"/>
          <w:sz w:val="18"/>
          <w:szCs w:val="18"/>
          <w:u w:val="single"/>
        </w:rPr>
        <w:tab/>
      </w:r>
      <w:r w:rsidR="00572467">
        <w:rPr>
          <w:rFonts w:ascii="Century Gothic" w:hAnsi="Century Gothic"/>
          <w:sz w:val="18"/>
          <w:szCs w:val="18"/>
          <w:u w:val="single"/>
        </w:rPr>
        <w:tab/>
      </w:r>
      <w:r w:rsidR="00572467">
        <w:rPr>
          <w:rFonts w:ascii="Century Gothic" w:hAnsi="Century Gothic"/>
          <w:sz w:val="18"/>
          <w:szCs w:val="18"/>
          <w:u w:val="single"/>
        </w:rPr>
        <w:tab/>
      </w:r>
      <w:r w:rsidR="00572467">
        <w:rPr>
          <w:rFonts w:ascii="Century Gothic" w:hAnsi="Century Gothic"/>
          <w:sz w:val="18"/>
          <w:szCs w:val="18"/>
          <w:u w:val="single"/>
        </w:rPr>
        <w:tab/>
      </w:r>
    </w:p>
    <w:p w14:paraId="0987F766" w14:textId="4429FBA1" w:rsidR="00572467" w:rsidRPr="00970828" w:rsidRDefault="00572467" w:rsidP="00970828">
      <w:pPr>
        <w:rPr>
          <w:rFonts w:ascii="Century Gothic" w:hAnsi="Century Gothic"/>
          <w:sz w:val="18"/>
          <w:szCs w:val="18"/>
        </w:rPr>
      </w:pPr>
      <w:r w:rsidRPr="00970828">
        <w:rPr>
          <w:rFonts w:ascii="Century Gothic" w:hAnsi="Century Gothic"/>
          <w:sz w:val="18"/>
          <w:szCs w:val="18"/>
        </w:rPr>
        <w:t>Preparation Materials for Oral Arguments</w:t>
      </w:r>
    </w:p>
    <w:p w14:paraId="402ACB03" w14:textId="5AB286C5" w:rsidR="00572467" w:rsidRPr="00572467" w:rsidRDefault="00572467" w:rsidP="00572467">
      <w:pPr>
        <w:pStyle w:val="ListParagraph"/>
        <w:rPr>
          <w:rFonts w:ascii="Century Gothic" w:hAnsi="Century Gothic"/>
          <w:sz w:val="18"/>
          <w:szCs w:val="18"/>
        </w:rPr>
      </w:pPr>
      <w:r>
        <w:rPr>
          <w:rFonts w:ascii="Century Gothic" w:hAnsi="Century Gothic"/>
          <w:sz w:val="18"/>
          <w:szCs w:val="18"/>
        </w:rPr>
        <w:t xml:space="preserve">   Case #2</w:t>
      </w:r>
    </w:p>
    <w:p w14:paraId="44BB0C74" w14:textId="77777777" w:rsidR="00572467" w:rsidRDefault="00572467" w:rsidP="00572467">
      <w:pPr>
        <w:rPr>
          <w:rFonts w:ascii="Century Gothic" w:hAnsi="Century Gothic"/>
          <w:sz w:val="22"/>
          <w:szCs w:val="22"/>
        </w:rPr>
      </w:pPr>
    </w:p>
    <w:p w14:paraId="56D99A3A" w14:textId="77777777" w:rsidR="00572467" w:rsidRDefault="00572467" w:rsidP="00572467">
      <w:pPr>
        <w:rPr>
          <w:rFonts w:ascii="Century Gothic" w:hAnsi="Century Gothic"/>
          <w:sz w:val="22"/>
          <w:szCs w:val="22"/>
        </w:rPr>
      </w:pPr>
    </w:p>
    <w:p w14:paraId="74FE85F9" w14:textId="77777777" w:rsidR="00572467" w:rsidRPr="00572467" w:rsidRDefault="00572467" w:rsidP="00572467">
      <w:pPr>
        <w:jc w:val="center"/>
        <w:rPr>
          <w:rFonts w:ascii="Century Gothic" w:hAnsi="Century Gothic"/>
          <w:b/>
          <w:sz w:val="28"/>
          <w:szCs w:val="28"/>
        </w:rPr>
      </w:pPr>
      <w:r w:rsidRPr="00572467">
        <w:rPr>
          <w:rFonts w:ascii="Century Gothic" w:hAnsi="Century Gothic"/>
          <w:b/>
          <w:sz w:val="28"/>
          <w:szCs w:val="28"/>
        </w:rPr>
        <w:t>Preparing to Observe Oral Arguments</w:t>
      </w:r>
    </w:p>
    <w:p w14:paraId="636698AB" w14:textId="77777777" w:rsidR="00572467" w:rsidRDefault="00572467" w:rsidP="00572467">
      <w:pPr>
        <w:rPr>
          <w:rFonts w:ascii="Century Gothic" w:hAnsi="Century Gothic"/>
          <w:sz w:val="22"/>
          <w:szCs w:val="22"/>
        </w:rPr>
      </w:pPr>
    </w:p>
    <w:p w14:paraId="71FBB1A8" w14:textId="5CC0D826" w:rsidR="00572467" w:rsidRPr="008E1D50" w:rsidRDefault="00CF62B4" w:rsidP="00572467">
      <w:pPr>
        <w:jc w:val="center"/>
        <w:rPr>
          <w:rFonts w:ascii="Century Gothic" w:hAnsi="Century Gothic"/>
          <w:i/>
          <w:sz w:val="22"/>
          <w:szCs w:val="22"/>
        </w:rPr>
      </w:pPr>
      <w:r>
        <w:rPr>
          <w:rFonts w:ascii="Century Gothic" w:hAnsi="Century Gothic"/>
          <w:i/>
          <w:sz w:val="22"/>
          <w:szCs w:val="22"/>
        </w:rPr>
        <w:t>State of Oregon</w:t>
      </w:r>
    </w:p>
    <w:p w14:paraId="5FDB7C8E" w14:textId="77777777" w:rsidR="00572467" w:rsidRPr="008E1D50" w:rsidRDefault="00572467" w:rsidP="00572467">
      <w:pPr>
        <w:jc w:val="center"/>
        <w:rPr>
          <w:rFonts w:ascii="Century Gothic" w:hAnsi="Century Gothic"/>
          <w:i/>
          <w:sz w:val="22"/>
          <w:szCs w:val="22"/>
        </w:rPr>
      </w:pPr>
      <w:r w:rsidRPr="008E1D50">
        <w:rPr>
          <w:rFonts w:ascii="Century Gothic" w:hAnsi="Century Gothic"/>
          <w:i/>
          <w:sz w:val="22"/>
          <w:szCs w:val="22"/>
        </w:rPr>
        <w:t>v.</w:t>
      </w:r>
    </w:p>
    <w:p w14:paraId="02463D9D" w14:textId="320D7918" w:rsidR="00572467" w:rsidRPr="008E1D50" w:rsidRDefault="00CF62B4" w:rsidP="00572467">
      <w:pPr>
        <w:jc w:val="center"/>
        <w:rPr>
          <w:rFonts w:ascii="Century Gothic" w:hAnsi="Century Gothic"/>
          <w:i/>
          <w:sz w:val="22"/>
          <w:szCs w:val="22"/>
        </w:rPr>
      </w:pPr>
      <w:r>
        <w:rPr>
          <w:rFonts w:ascii="Century Gothic" w:hAnsi="Century Gothic"/>
          <w:i/>
          <w:sz w:val="22"/>
          <w:szCs w:val="22"/>
        </w:rPr>
        <w:t>Tamara Louise Fulmer</w:t>
      </w:r>
    </w:p>
    <w:p w14:paraId="5BB66455" w14:textId="745339DF" w:rsidR="00572467" w:rsidRPr="00572467" w:rsidRDefault="00572467" w:rsidP="00572467">
      <w:pPr>
        <w:jc w:val="center"/>
        <w:rPr>
          <w:rFonts w:ascii="Century Gothic" w:hAnsi="Century Gothic"/>
          <w:b/>
          <w:sz w:val="22"/>
          <w:szCs w:val="22"/>
        </w:rPr>
      </w:pPr>
      <w:r w:rsidRPr="00572467">
        <w:rPr>
          <w:rFonts w:ascii="Century Gothic" w:hAnsi="Century Gothic" w:cs="Arial"/>
          <w:b/>
          <w:sz w:val="22"/>
          <w:szCs w:val="22"/>
        </w:rPr>
        <w:t xml:space="preserve">Supreme Court Case </w:t>
      </w:r>
      <w:r w:rsidR="00814C54">
        <w:rPr>
          <w:rFonts w:ascii="Century Gothic" w:hAnsi="Century Gothic"/>
          <w:b/>
          <w:sz w:val="22"/>
          <w:szCs w:val="22"/>
        </w:rPr>
        <w:t>SO66654</w:t>
      </w:r>
    </w:p>
    <w:p w14:paraId="7F3408D7" w14:textId="77777777" w:rsidR="00572467" w:rsidRPr="00572467" w:rsidRDefault="00572467" w:rsidP="00572467">
      <w:pPr>
        <w:rPr>
          <w:rFonts w:ascii="Century Gothic" w:hAnsi="Century Gothic" w:cs="Arial"/>
          <w:sz w:val="20"/>
        </w:rPr>
      </w:pPr>
    </w:p>
    <w:p w14:paraId="0A440988" w14:textId="77777777" w:rsidR="00572467" w:rsidRPr="00572467" w:rsidRDefault="00572467" w:rsidP="00572467">
      <w:pPr>
        <w:rPr>
          <w:rFonts w:ascii="Century Gothic" w:hAnsi="Century Gothic" w:cs="Arial"/>
          <w:sz w:val="20"/>
        </w:rPr>
      </w:pPr>
    </w:p>
    <w:p w14:paraId="6F2E6FC2" w14:textId="77777777" w:rsidR="00572467" w:rsidRPr="00572467" w:rsidRDefault="00572467" w:rsidP="00572467">
      <w:pPr>
        <w:rPr>
          <w:rFonts w:ascii="Century Gothic" w:hAnsi="Century Gothic" w:cs="Arial"/>
          <w:sz w:val="18"/>
          <w:szCs w:val="18"/>
        </w:rPr>
      </w:pPr>
    </w:p>
    <w:p w14:paraId="63825F02"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 xml:space="preserve">What are the </w:t>
      </w:r>
      <w:r w:rsidRPr="00572467">
        <w:rPr>
          <w:rFonts w:ascii="Century Gothic" w:hAnsi="Century Gothic" w:cs="Arial"/>
          <w:b/>
          <w:sz w:val="18"/>
          <w:szCs w:val="18"/>
        </w:rPr>
        <w:t>FACTS</w:t>
      </w:r>
      <w:r w:rsidRPr="00572467">
        <w:rPr>
          <w:rFonts w:ascii="Century Gothic" w:hAnsi="Century Gothic" w:cs="Arial"/>
          <w:sz w:val="18"/>
          <w:szCs w:val="18"/>
        </w:rPr>
        <w:t xml:space="preserve"> of the case (what’s the story behind the lawsuit?)?</w:t>
      </w:r>
    </w:p>
    <w:p w14:paraId="1B83C18C" w14:textId="77777777" w:rsidR="00572467" w:rsidRPr="00572467" w:rsidRDefault="00572467" w:rsidP="00572467">
      <w:pPr>
        <w:rPr>
          <w:rFonts w:ascii="Century Gothic" w:hAnsi="Century Gothic" w:cs="Arial"/>
          <w:sz w:val="18"/>
          <w:szCs w:val="18"/>
        </w:rPr>
      </w:pPr>
    </w:p>
    <w:p w14:paraId="28A4C7F7" w14:textId="5841223A"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1.</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t xml:space="preserve"> </w:t>
      </w:r>
      <w:r w:rsidRPr="00572467">
        <w:rPr>
          <w:rFonts w:ascii="Century Gothic" w:hAnsi="Century Gothic" w:cs="Arial"/>
          <w:sz w:val="18"/>
          <w:szCs w:val="18"/>
        </w:rPr>
        <w:tab/>
      </w:r>
      <w:r w:rsidRPr="00572467">
        <w:rPr>
          <w:rFonts w:ascii="Century Gothic" w:hAnsi="Century Gothic" w:cs="Arial"/>
          <w:sz w:val="18"/>
          <w:szCs w:val="18"/>
        </w:rPr>
        <w:tab/>
      </w:r>
      <w:r w:rsidR="008E3308">
        <w:rPr>
          <w:rFonts w:ascii="Century Gothic" w:hAnsi="Century Gothic" w:cs="Arial"/>
          <w:sz w:val="18"/>
          <w:szCs w:val="18"/>
        </w:rPr>
        <w:t>5</w:t>
      </w:r>
      <w:r w:rsidRPr="00572467">
        <w:rPr>
          <w:rFonts w:ascii="Century Gothic" w:hAnsi="Century Gothic" w:cs="Arial"/>
          <w:sz w:val="18"/>
          <w:szCs w:val="18"/>
        </w:rPr>
        <w:t>.</w:t>
      </w:r>
    </w:p>
    <w:p w14:paraId="549819BC" w14:textId="77777777" w:rsidR="00572467" w:rsidRDefault="00572467" w:rsidP="00572467">
      <w:pPr>
        <w:rPr>
          <w:rFonts w:ascii="Century Gothic" w:hAnsi="Century Gothic" w:cs="Arial"/>
          <w:sz w:val="18"/>
          <w:szCs w:val="18"/>
        </w:rPr>
      </w:pPr>
    </w:p>
    <w:p w14:paraId="6A201451" w14:textId="77777777" w:rsidR="00572467" w:rsidRPr="00572467" w:rsidRDefault="00572467" w:rsidP="00572467">
      <w:pPr>
        <w:rPr>
          <w:rFonts w:ascii="Century Gothic" w:hAnsi="Century Gothic" w:cs="Arial"/>
          <w:sz w:val="18"/>
          <w:szCs w:val="18"/>
        </w:rPr>
      </w:pPr>
    </w:p>
    <w:p w14:paraId="6BB84B27" w14:textId="64354AE2"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2.</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008E3308">
        <w:rPr>
          <w:rFonts w:ascii="Century Gothic" w:hAnsi="Century Gothic" w:cs="Arial"/>
          <w:sz w:val="18"/>
          <w:szCs w:val="18"/>
        </w:rPr>
        <w:t>6</w:t>
      </w:r>
      <w:r w:rsidRPr="00572467">
        <w:rPr>
          <w:rFonts w:ascii="Century Gothic" w:hAnsi="Century Gothic" w:cs="Arial"/>
          <w:sz w:val="18"/>
          <w:szCs w:val="18"/>
        </w:rPr>
        <w:t>.</w:t>
      </w:r>
    </w:p>
    <w:p w14:paraId="18280E4F" w14:textId="77777777" w:rsidR="00572467" w:rsidRDefault="00572467" w:rsidP="00572467">
      <w:pPr>
        <w:rPr>
          <w:rFonts w:ascii="Century Gothic" w:hAnsi="Century Gothic" w:cs="Arial"/>
          <w:sz w:val="18"/>
          <w:szCs w:val="18"/>
        </w:rPr>
      </w:pPr>
    </w:p>
    <w:p w14:paraId="53B998FB" w14:textId="77777777" w:rsidR="00572467" w:rsidRPr="00572467" w:rsidRDefault="00572467" w:rsidP="00572467">
      <w:pPr>
        <w:rPr>
          <w:rFonts w:ascii="Century Gothic" w:hAnsi="Century Gothic" w:cs="Arial"/>
          <w:sz w:val="18"/>
          <w:szCs w:val="18"/>
        </w:rPr>
      </w:pPr>
    </w:p>
    <w:p w14:paraId="122EBC70" w14:textId="2889E4AB"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3.</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008E3308">
        <w:rPr>
          <w:rFonts w:ascii="Century Gothic" w:hAnsi="Century Gothic" w:cs="Arial"/>
          <w:sz w:val="18"/>
          <w:szCs w:val="18"/>
        </w:rPr>
        <w:t>7</w:t>
      </w:r>
      <w:r w:rsidRPr="00572467">
        <w:rPr>
          <w:rFonts w:ascii="Century Gothic" w:hAnsi="Century Gothic" w:cs="Arial"/>
          <w:sz w:val="18"/>
          <w:szCs w:val="18"/>
        </w:rPr>
        <w:t>.</w:t>
      </w:r>
    </w:p>
    <w:p w14:paraId="25FFD3B4" w14:textId="77777777" w:rsidR="00572467" w:rsidRDefault="00572467" w:rsidP="00572467">
      <w:pPr>
        <w:rPr>
          <w:rFonts w:ascii="Century Gothic" w:hAnsi="Century Gothic" w:cs="Arial"/>
          <w:sz w:val="18"/>
          <w:szCs w:val="18"/>
        </w:rPr>
      </w:pPr>
    </w:p>
    <w:p w14:paraId="62697103" w14:textId="77777777" w:rsidR="00572467" w:rsidRPr="00572467" w:rsidRDefault="00572467" w:rsidP="00572467">
      <w:pPr>
        <w:rPr>
          <w:rFonts w:ascii="Century Gothic" w:hAnsi="Century Gothic" w:cs="Arial"/>
          <w:sz w:val="18"/>
          <w:szCs w:val="18"/>
        </w:rPr>
      </w:pPr>
    </w:p>
    <w:p w14:paraId="2637727C" w14:textId="0DA20D45"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4.</w:t>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Pr="00572467">
        <w:rPr>
          <w:rFonts w:ascii="Century Gothic" w:hAnsi="Century Gothic" w:cs="Arial"/>
          <w:sz w:val="18"/>
          <w:szCs w:val="18"/>
        </w:rPr>
        <w:tab/>
      </w:r>
      <w:r w:rsidR="008E3308">
        <w:rPr>
          <w:rFonts w:ascii="Century Gothic" w:hAnsi="Century Gothic" w:cs="Arial"/>
          <w:sz w:val="18"/>
          <w:szCs w:val="18"/>
        </w:rPr>
        <w:t>8</w:t>
      </w:r>
      <w:r w:rsidRPr="00572467">
        <w:rPr>
          <w:rFonts w:ascii="Century Gothic" w:hAnsi="Century Gothic" w:cs="Arial"/>
          <w:sz w:val="18"/>
          <w:szCs w:val="18"/>
        </w:rPr>
        <w:t>.</w:t>
      </w:r>
    </w:p>
    <w:p w14:paraId="382FC46E" w14:textId="77777777" w:rsidR="00572467" w:rsidRDefault="00572467" w:rsidP="00572467">
      <w:pPr>
        <w:rPr>
          <w:rFonts w:ascii="Century Gothic" w:hAnsi="Century Gothic" w:cs="Arial"/>
          <w:sz w:val="18"/>
          <w:szCs w:val="18"/>
        </w:rPr>
      </w:pPr>
    </w:p>
    <w:p w14:paraId="1B8F9172" w14:textId="77777777" w:rsidR="00572467" w:rsidRDefault="00572467" w:rsidP="00572467">
      <w:pPr>
        <w:rPr>
          <w:rFonts w:ascii="Century Gothic" w:hAnsi="Century Gothic" w:cs="Arial"/>
          <w:sz w:val="18"/>
          <w:szCs w:val="18"/>
        </w:rPr>
      </w:pPr>
    </w:p>
    <w:p w14:paraId="6DCB81F3" w14:textId="77777777" w:rsidR="00572467" w:rsidRDefault="00572467" w:rsidP="00572467">
      <w:pPr>
        <w:rPr>
          <w:rFonts w:ascii="Century Gothic" w:hAnsi="Century Gothic" w:cs="Arial"/>
          <w:sz w:val="18"/>
          <w:szCs w:val="18"/>
        </w:rPr>
      </w:pPr>
    </w:p>
    <w:p w14:paraId="334548AE" w14:textId="77777777" w:rsidR="00572467" w:rsidRDefault="00572467" w:rsidP="00572467">
      <w:pPr>
        <w:rPr>
          <w:rFonts w:ascii="Century Gothic" w:hAnsi="Century Gothic" w:cs="Arial"/>
          <w:sz w:val="18"/>
          <w:szCs w:val="18"/>
        </w:rPr>
      </w:pPr>
    </w:p>
    <w:p w14:paraId="0402095D" w14:textId="77777777" w:rsidR="00572467" w:rsidRPr="00572467" w:rsidRDefault="00572467" w:rsidP="00572467">
      <w:pPr>
        <w:rPr>
          <w:rFonts w:ascii="Century Gothic" w:hAnsi="Century Gothic" w:cs="Arial"/>
          <w:sz w:val="18"/>
          <w:szCs w:val="18"/>
        </w:rPr>
      </w:pPr>
      <w:r w:rsidRPr="00572467">
        <w:rPr>
          <w:rFonts w:ascii="Century Gothic" w:hAnsi="Century Gothic" w:cs="Arial"/>
          <w:sz w:val="18"/>
          <w:szCs w:val="18"/>
        </w:rPr>
        <w:t xml:space="preserve">What </w:t>
      </w:r>
      <w:r>
        <w:rPr>
          <w:rFonts w:ascii="Century Gothic" w:hAnsi="Century Gothic" w:cs="Arial"/>
          <w:sz w:val="18"/>
          <w:szCs w:val="18"/>
        </w:rPr>
        <w:t>is the Petitioner asking the Court to decide</w:t>
      </w:r>
      <w:r w:rsidRPr="00572467">
        <w:rPr>
          <w:rFonts w:ascii="Century Gothic" w:hAnsi="Century Gothic" w:cs="Arial"/>
          <w:sz w:val="18"/>
          <w:szCs w:val="18"/>
        </w:rPr>
        <w:t>?</w:t>
      </w:r>
    </w:p>
    <w:p w14:paraId="5D2DF991" w14:textId="77777777" w:rsidR="00572467" w:rsidRPr="00572467" w:rsidRDefault="00572467" w:rsidP="00572467">
      <w:pPr>
        <w:rPr>
          <w:rFonts w:ascii="Century Gothic" w:hAnsi="Century Gothic" w:cs="Arial"/>
          <w:sz w:val="18"/>
          <w:szCs w:val="18"/>
        </w:rPr>
      </w:pPr>
    </w:p>
    <w:p w14:paraId="47CC2623" w14:textId="77777777" w:rsidR="00572467" w:rsidRDefault="00572467" w:rsidP="00572467">
      <w:pPr>
        <w:rPr>
          <w:rFonts w:ascii="Century Gothic" w:hAnsi="Century Gothic" w:cs="Arial"/>
          <w:sz w:val="18"/>
          <w:szCs w:val="18"/>
        </w:rPr>
      </w:pPr>
    </w:p>
    <w:p w14:paraId="7DDFED38" w14:textId="77777777" w:rsidR="00572467" w:rsidRDefault="00572467" w:rsidP="00572467">
      <w:pPr>
        <w:rPr>
          <w:rFonts w:ascii="Century Gothic" w:hAnsi="Century Gothic" w:cs="Arial"/>
          <w:sz w:val="18"/>
          <w:szCs w:val="18"/>
        </w:rPr>
      </w:pPr>
    </w:p>
    <w:p w14:paraId="129C7BC0" w14:textId="77777777" w:rsidR="00572467" w:rsidRDefault="00572467" w:rsidP="00572467">
      <w:pPr>
        <w:rPr>
          <w:rFonts w:ascii="Century Gothic" w:hAnsi="Century Gothic" w:cs="Arial"/>
          <w:sz w:val="18"/>
          <w:szCs w:val="18"/>
        </w:rPr>
      </w:pPr>
    </w:p>
    <w:p w14:paraId="184438B6" w14:textId="77777777" w:rsidR="00572467" w:rsidRDefault="00572467" w:rsidP="00572467">
      <w:pPr>
        <w:rPr>
          <w:rFonts w:ascii="Century Gothic" w:hAnsi="Century Gothic" w:cs="Arial"/>
          <w:sz w:val="18"/>
          <w:szCs w:val="18"/>
        </w:rPr>
      </w:pPr>
    </w:p>
    <w:p w14:paraId="0C406E4B" w14:textId="77777777" w:rsidR="00572467" w:rsidRDefault="00572467" w:rsidP="00572467">
      <w:pPr>
        <w:rPr>
          <w:rFonts w:ascii="Century Gothic" w:hAnsi="Century Gothic" w:cs="Arial"/>
          <w:sz w:val="18"/>
          <w:szCs w:val="18"/>
        </w:rPr>
      </w:pPr>
    </w:p>
    <w:p w14:paraId="1ED3F45C" w14:textId="77777777" w:rsidR="00572467" w:rsidRPr="00572467" w:rsidRDefault="00572467" w:rsidP="00572467">
      <w:pPr>
        <w:rPr>
          <w:rFonts w:ascii="Century Gothic" w:hAnsi="Century Gothic" w:cs="Arial"/>
          <w:sz w:val="18"/>
          <w:szCs w:val="18"/>
        </w:rPr>
      </w:pPr>
      <w:r>
        <w:rPr>
          <w:rFonts w:ascii="Century Gothic" w:hAnsi="Century Gothic" w:cs="Arial"/>
          <w:sz w:val="18"/>
          <w:szCs w:val="18"/>
        </w:rPr>
        <w:t>What is the Respondent asking the Court to decide?</w:t>
      </w:r>
    </w:p>
    <w:p w14:paraId="44524157" w14:textId="77777777" w:rsidR="00572467" w:rsidRPr="00572467" w:rsidRDefault="00572467" w:rsidP="00572467">
      <w:pPr>
        <w:rPr>
          <w:rFonts w:ascii="Century Gothic" w:hAnsi="Century Gothic" w:cs="Arial"/>
          <w:sz w:val="18"/>
          <w:szCs w:val="18"/>
        </w:rPr>
      </w:pPr>
    </w:p>
    <w:p w14:paraId="22A1913B" w14:textId="77777777" w:rsidR="00572467" w:rsidRPr="00572467" w:rsidRDefault="00572467" w:rsidP="00572467">
      <w:pPr>
        <w:rPr>
          <w:rFonts w:ascii="Century Gothic" w:hAnsi="Century Gothic" w:cs="Arial"/>
          <w:sz w:val="18"/>
          <w:szCs w:val="18"/>
        </w:rPr>
      </w:pPr>
    </w:p>
    <w:p w14:paraId="2B4D4A1E" w14:textId="77777777" w:rsidR="00572467" w:rsidRDefault="00572467" w:rsidP="00572467">
      <w:pPr>
        <w:rPr>
          <w:rFonts w:ascii="Century Gothic" w:hAnsi="Century Gothic" w:cs="Arial"/>
          <w:sz w:val="18"/>
          <w:szCs w:val="18"/>
        </w:rPr>
      </w:pPr>
    </w:p>
    <w:p w14:paraId="4F2137E4" w14:textId="77777777" w:rsidR="00572467" w:rsidRDefault="00572467" w:rsidP="00572467">
      <w:pPr>
        <w:rPr>
          <w:rFonts w:ascii="Century Gothic" w:hAnsi="Century Gothic" w:cs="Arial"/>
          <w:sz w:val="18"/>
          <w:szCs w:val="18"/>
        </w:rPr>
      </w:pPr>
    </w:p>
    <w:p w14:paraId="4869FB3F" w14:textId="77777777" w:rsidR="00572467" w:rsidRDefault="00572467" w:rsidP="00572467">
      <w:pPr>
        <w:rPr>
          <w:rFonts w:ascii="Century Gothic" w:hAnsi="Century Gothic" w:cs="Arial"/>
          <w:sz w:val="18"/>
          <w:szCs w:val="18"/>
        </w:rPr>
      </w:pPr>
    </w:p>
    <w:p w14:paraId="24D87C6D" w14:textId="77777777" w:rsidR="00572467" w:rsidRDefault="00572467" w:rsidP="00572467">
      <w:pPr>
        <w:rPr>
          <w:rFonts w:ascii="Century Gothic" w:hAnsi="Century Gothic" w:cs="Arial"/>
          <w:sz w:val="18"/>
          <w:szCs w:val="18"/>
        </w:rPr>
      </w:pPr>
    </w:p>
    <w:p w14:paraId="202A2197" w14:textId="77777777" w:rsidR="00572467" w:rsidRDefault="00572467" w:rsidP="00572467">
      <w:pPr>
        <w:rPr>
          <w:rFonts w:ascii="Century Gothic" w:hAnsi="Century Gothic" w:cs="Arial"/>
          <w:sz w:val="18"/>
          <w:szCs w:val="18"/>
        </w:rPr>
      </w:pPr>
      <w:r>
        <w:rPr>
          <w:rFonts w:ascii="Century Gothic" w:hAnsi="Century Gothic" w:cs="Arial"/>
          <w:sz w:val="18"/>
          <w:szCs w:val="18"/>
        </w:rPr>
        <w:t>What is the key part of the law that must be decided by the Court?</w:t>
      </w:r>
    </w:p>
    <w:p w14:paraId="0B5755FB" w14:textId="77777777" w:rsidR="00572467" w:rsidRDefault="00572467" w:rsidP="00572467">
      <w:pPr>
        <w:rPr>
          <w:rFonts w:ascii="Century Gothic" w:hAnsi="Century Gothic" w:cs="Arial"/>
          <w:sz w:val="18"/>
          <w:szCs w:val="18"/>
        </w:rPr>
      </w:pPr>
    </w:p>
    <w:p w14:paraId="308A3389" w14:textId="77777777" w:rsidR="00572467" w:rsidRDefault="00572467" w:rsidP="00572467">
      <w:pPr>
        <w:rPr>
          <w:rFonts w:ascii="Century Gothic" w:hAnsi="Century Gothic" w:cs="Arial"/>
          <w:sz w:val="18"/>
          <w:szCs w:val="18"/>
        </w:rPr>
      </w:pPr>
    </w:p>
    <w:p w14:paraId="40E7CED5" w14:textId="77777777" w:rsidR="00572467" w:rsidRDefault="00572467" w:rsidP="00572467">
      <w:pPr>
        <w:rPr>
          <w:rFonts w:ascii="Century Gothic" w:hAnsi="Century Gothic" w:cs="Arial"/>
          <w:sz w:val="18"/>
          <w:szCs w:val="18"/>
        </w:rPr>
      </w:pPr>
    </w:p>
    <w:p w14:paraId="17F6A6D6" w14:textId="77777777" w:rsidR="00572467" w:rsidRDefault="00572467" w:rsidP="00572467">
      <w:pPr>
        <w:rPr>
          <w:rFonts w:ascii="Century Gothic" w:hAnsi="Century Gothic" w:cs="Arial"/>
          <w:sz w:val="18"/>
          <w:szCs w:val="18"/>
        </w:rPr>
      </w:pPr>
    </w:p>
    <w:p w14:paraId="6C6B10F8" w14:textId="77777777" w:rsidR="00572467" w:rsidRDefault="00572467" w:rsidP="00572467">
      <w:pPr>
        <w:rPr>
          <w:rFonts w:ascii="Century Gothic" w:hAnsi="Century Gothic" w:cs="Arial"/>
          <w:sz w:val="18"/>
          <w:szCs w:val="18"/>
        </w:rPr>
      </w:pPr>
    </w:p>
    <w:p w14:paraId="6276E0E5" w14:textId="77777777" w:rsidR="00572467" w:rsidRDefault="00572467" w:rsidP="00572467">
      <w:pPr>
        <w:rPr>
          <w:rFonts w:ascii="Century Gothic" w:hAnsi="Century Gothic" w:cs="Arial"/>
          <w:sz w:val="18"/>
          <w:szCs w:val="18"/>
        </w:rPr>
      </w:pPr>
    </w:p>
    <w:p w14:paraId="059E9320" w14:textId="44DBD796" w:rsidR="00572467" w:rsidRDefault="00572467" w:rsidP="00572467">
      <w:pPr>
        <w:rPr>
          <w:rFonts w:ascii="Century Gothic" w:hAnsi="Century Gothic" w:cs="Arial"/>
          <w:sz w:val="20"/>
        </w:rPr>
      </w:pPr>
      <w:r w:rsidRPr="00572467">
        <w:rPr>
          <w:rFonts w:ascii="Century Gothic" w:hAnsi="Century Gothic" w:cs="Arial"/>
          <w:sz w:val="20"/>
        </w:rPr>
        <w:t>What questions do you have about the case, or what facts do you want clarified?</w:t>
      </w:r>
    </w:p>
    <w:p w14:paraId="40EA6418" w14:textId="6B11706C" w:rsidR="00572467" w:rsidRPr="008E3308" w:rsidRDefault="00572467" w:rsidP="00572467">
      <w:pPr>
        <w:ind w:left="360"/>
        <w:rPr>
          <w:rFonts w:ascii="Century Gothic" w:hAnsi="Century Gothic" w:cs="Arial"/>
          <w:i/>
          <w:sz w:val="16"/>
          <w:szCs w:val="16"/>
        </w:rPr>
      </w:pPr>
      <w:r w:rsidRPr="008E3308">
        <w:rPr>
          <w:rFonts w:ascii="Century Gothic" w:hAnsi="Century Gothic" w:cs="Arial"/>
          <w:i/>
          <w:sz w:val="16"/>
          <w:szCs w:val="16"/>
        </w:rPr>
        <w:t>(you will not be able to ask the Court questions specifically about the cases - this is to prepare you to observe whether your questions get answered in the course of the Oral Arguments)</w:t>
      </w:r>
    </w:p>
    <w:p w14:paraId="2F7EF59D" w14:textId="77777777" w:rsidR="00572467" w:rsidRPr="00062DFC" w:rsidRDefault="00572467" w:rsidP="00572467">
      <w:pPr>
        <w:rPr>
          <w:rFonts w:ascii="Palatino Linotype" w:hAnsi="Palatino Linotype" w:cs="Arial"/>
          <w:sz w:val="20"/>
        </w:rPr>
      </w:pPr>
    </w:p>
    <w:p w14:paraId="39EDD657" w14:textId="02369C6E" w:rsidR="00970828" w:rsidRDefault="00970828">
      <w:pPr>
        <w:rPr>
          <w:rFonts w:ascii="Century Gothic" w:hAnsi="Century Gothic"/>
          <w:sz w:val="18"/>
          <w:szCs w:val="18"/>
        </w:rPr>
      </w:pPr>
    </w:p>
    <w:sectPr w:rsidR="00970828" w:rsidSect="001E0CC4">
      <w:footerReference w:type="even" r:id="rId9"/>
      <w:footerReference w:type="default" r:id="rId10"/>
      <w:pgSz w:w="12240" w:h="15840"/>
      <w:pgMar w:top="720" w:right="1152" w:bottom="720" w:left="1152"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C577" w14:textId="77777777" w:rsidR="00595183" w:rsidRDefault="00595183" w:rsidP="008C5842">
      <w:r>
        <w:separator/>
      </w:r>
    </w:p>
  </w:endnote>
  <w:endnote w:type="continuationSeparator" w:id="0">
    <w:p w14:paraId="1CF55C78" w14:textId="77777777" w:rsidR="00595183" w:rsidRDefault="00595183" w:rsidP="008C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Bodoni 72 Oldstyle Book">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606996"/>
      <w:docPartObj>
        <w:docPartGallery w:val="Page Numbers (Bottom of Page)"/>
        <w:docPartUnique/>
      </w:docPartObj>
    </w:sdtPr>
    <w:sdtEndPr>
      <w:rPr>
        <w:rStyle w:val="PageNumber"/>
      </w:rPr>
    </w:sdtEndPr>
    <w:sdtContent>
      <w:p w14:paraId="2CC44DF1" w14:textId="45414CBE" w:rsidR="00862623" w:rsidRDefault="00862623" w:rsidP="00457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AE947" w14:textId="77777777" w:rsidR="00862623" w:rsidRDefault="00862623" w:rsidP="008C5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7462159"/>
      <w:docPartObj>
        <w:docPartGallery w:val="Page Numbers (Bottom of Page)"/>
        <w:docPartUnique/>
      </w:docPartObj>
    </w:sdtPr>
    <w:sdtEndPr>
      <w:rPr>
        <w:rStyle w:val="PageNumber"/>
      </w:rPr>
    </w:sdtEndPr>
    <w:sdtContent>
      <w:p w14:paraId="26FAC88B" w14:textId="7161990F" w:rsidR="00862623" w:rsidRDefault="00862623" w:rsidP="00457200">
        <w:pPr>
          <w:pStyle w:val="Footer"/>
          <w:framePr w:wrap="none" w:vAnchor="text" w:hAnchor="margin" w:xAlign="right" w:y="1"/>
          <w:rPr>
            <w:rStyle w:val="PageNumber"/>
          </w:rPr>
        </w:pPr>
        <w:r w:rsidRPr="008C5842">
          <w:rPr>
            <w:rStyle w:val="PageNumber"/>
            <w:rFonts w:ascii="Century Gothic" w:hAnsi="Century Gothic"/>
            <w:sz w:val="16"/>
            <w:szCs w:val="16"/>
          </w:rPr>
          <w:fldChar w:fldCharType="begin"/>
        </w:r>
        <w:r w:rsidRPr="008C5842">
          <w:rPr>
            <w:rStyle w:val="PageNumber"/>
            <w:rFonts w:ascii="Century Gothic" w:hAnsi="Century Gothic"/>
            <w:sz w:val="16"/>
            <w:szCs w:val="16"/>
          </w:rPr>
          <w:instrText xml:space="preserve"> PAGE </w:instrText>
        </w:r>
        <w:r w:rsidRPr="008C5842">
          <w:rPr>
            <w:rStyle w:val="PageNumber"/>
            <w:rFonts w:ascii="Century Gothic" w:hAnsi="Century Gothic"/>
            <w:sz w:val="16"/>
            <w:szCs w:val="16"/>
          </w:rPr>
          <w:fldChar w:fldCharType="separate"/>
        </w:r>
        <w:r w:rsidRPr="008C5842">
          <w:rPr>
            <w:rStyle w:val="PageNumber"/>
            <w:rFonts w:ascii="Century Gothic" w:hAnsi="Century Gothic"/>
            <w:noProof/>
            <w:sz w:val="16"/>
            <w:szCs w:val="16"/>
          </w:rPr>
          <w:t>17</w:t>
        </w:r>
        <w:r w:rsidRPr="008C5842">
          <w:rPr>
            <w:rStyle w:val="PageNumber"/>
            <w:rFonts w:ascii="Century Gothic" w:hAnsi="Century Gothic"/>
            <w:sz w:val="16"/>
            <w:szCs w:val="16"/>
          </w:rPr>
          <w:fldChar w:fldCharType="end"/>
        </w:r>
      </w:p>
    </w:sdtContent>
  </w:sdt>
  <w:p w14:paraId="3872D92A" w14:textId="77777777" w:rsidR="00CF62B4" w:rsidRPr="00850626" w:rsidRDefault="00CF62B4" w:rsidP="00CF62B4">
    <w:pPr>
      <w:pStyle w:val="Footer"/>
      <w:ind w:right="360"/>
      <w:rPr>
        <w:rFonts w:ascii="Century Gothic" w:hAnsi="Century Gothic"/>
        <w:sz w:val="15"/>
        <w:szCs w:val="15"/>
      </w:rPr>
    </w:pPr>
    <w:r w:rsidRPr="00850626">
      <w:rPr>
        <w:rFonts w:ascii="Century Gothic" w:hAnsi="Century Gothic"/>
        <w:sz w:val="15"/>
        <w:szCs w:val="15"/>
      </w:rPr>
      <w:t>The Oregon Supreme Court Oral Arguments</w:t>
    </w:r>
  </w:p>
  <w:p w14:paraId="68FC028D" w14:textId="122DCC74" w:rsidR="00862623" w:rsidRPr="00CF62B4" w:rsidRDefault="00CF62B4" w:rsidP="00CF62B4">
    <w:pPr>
      <w:pStyle w:val="Footer"/>
      <w:ind w:right="360"/>
      <w:rPr>
        <w:rFonts w:ascii="Century Gothic" w:hAnsi="Century Gothic"/>
        <w:i/>
        <w:iCs/>
        <w:sz w:val="15"/>
        <w:szCs w:val="15"/>
      </w:rPr>
    </w:pPr>
    <w:r w:rsidRPr="00850626">
      <w:rPr>
        <w:rFonts w:ascii="Century Gothic" w:hAnsi="Century Gothic"/>
        <w:i/>
        <w:iCs/>
        <w:sz w:val="15"/>
        <w:szCs w:val="15"/>
      </w:rPr>
      <w:t xml:space="preserve">www.classroomlaw.org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20DF" w14:textId="77777777" w:rsidR="00595183" w:rsidRDefault="00595183" w:rsidP="008C5842">
      <w:r>
        <w:separator/>
      </w:r>
    </w:p>
  </w:footnote>
  <w:footnote w:type="continuationSeparator" w:id="0">
    <w:p w14:paraId="32923A0D" w14:textId="77777777" w:rsidR="00595183" w:rsidRDefault="00595183" w:rsidP="008C5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F6D"/>
    <w:multiLevelType w:val="hybridMultilevel"/>
    <w:tmpl w:val="D838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5DA3"/>
    <w:multiLevelType w:val="multilevel"/>
    <w:tmpl w:val="FFC6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4FB7"/>
    <w:multiLevelType w:val="multilevel"/>
    <w:tmpl w:val="D40C665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348B"/>
    <w:multiLevelType w:val="hybridMultilevel"/>
    <w:tmpl w:val="1DC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4DA5"/>
    <w:multiLevelType w:val="hybridMultilevel"/>
    <w:tmpl w:val="2F6C8F02"/>
    <w:lvl w:ilvl="0" w:tplc="14A2D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B1AE0"/>
    <w:multiLevelType w:val="multilevel"/>
    <w:tmpl w:val="7364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01D92"/>
    <w:multiLevelType w:val="hybridMultilevel"/>
    <w:tmpl w:val="589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61CAA"/>
    <w:multiLevelType w:val="multilevel"/>
    <w:tmpl w:val="873216B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191E8B"/>
    <w:multiLevelType w:val="hybridMultilevel"/>
    <w:tmpl w:val="E85C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306A8"/>
    <w:multiLevelType w:val="hybridMultilevel"/>
    <w:tmpl w:val="0E28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557BE"/>
    <w:multiLevelType w:val="hybridMultilevel"/>
    <w:tmpl w:val="05F8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37BC8"/>
    <w:multiLevelType w:val="hybridMultilevel"/>
    <w:tmpl w:val="54302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33918"/>
    <w:multiLevelType w:val="hybridMultilevel"/>
    <w:tmpl w:val="F208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1CA1"/>
    <w:multiLevelType w:val="multilevel"/>
    <w:tmpl w:val="014283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8FA3196"/>
    <w:multiLevelType w:val="hybridMultilevel"/>
    <w:tmpl w:val="1DC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879CE"/>
    <w:multiLevelType w:val="multilevel"/>
    <w:tmpl w:val="3F5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A7E62"/>
    <w:multiLevelType w:val="hybridMultilevel"/>
    <w:tmpl w:val="99D86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35834"/>
    <w:multiLevelType w:val="hybridMultilevel"/>
    <w:tmpl w:val="53A2E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B2CBA"/>
    <w:multiLevelType w:val="hybridMultilevel"/>
    <w:tmpl w:val="0910F4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42020C4A"/>
    <w:multiLevelType w:val="hybridMultilevel"/>
    <w:tmpl w:val="65FE3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C2F9F"/>
    <w:multiLevelType w:val="multilevel"/>
    <w:tmpl w:val="86806C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183B55"/>
    <w:multiLevelType w:val="multilevel"/>
    <w:tmpl w:val="D2D6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D7961"/>
    <w:multiLevelType w:val="multilevel"/>
    <w:tmpl w:val="873216B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017EFE"/>
    <w:multiLevelType w:val="hybridMultilevel"/>
    <w:tmpl w:val="218EA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D3132"/>
    <w:multiLevelType w:val="hybridMultilevel"/>
    <w:tmpl w:val="FB86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A6FFE"/>
    <w:multiLevelType w:val="multilevel"/>
    <w:tmpl w:val="41C0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0"/>
  </w:num>
  <w:num w:numId="4">
    <w:abstractNumId w:val="6"/>
  </w:num>
  <w:num w:numId="5">
    <w:abstractNumId w:val="8"/>
  </w:num>
  <w:num w:numId="6">
    <w:abstractNumId w:val="22"/>
  </w:num>
  <w:num w:numId="7">
    <w:abstractNumId w:val="17"/>
  </w:num>
  <w:num w:numId="8">
    <w:abstractNumId w:val="16"/>
  </w:num>
  <w:num w:numId="9">
    <w:abstractNumId w:val="11"/>
  </w:num>
  <w:num w:numId="10">
    <w:abstractNumId w:val="18"/>
  </w:num>
  <w:num w:numId="11">
    <w:abstractNumId w:val="10"/>
  </w:num>
  <w:num w:numId="12">
    <w:abstractNumId w:val="2"/>
  </w:num>
  <w:num w:numId="13">
    <w:abstractNumId w:val="25"/>
  </w:num>
  <w:num w:numId="14">
    <w:abstractNumId w:val="15"/>
  </w:num>
  <w:num w:numId="15">
    <w:abstractNumId w:val="1"/>
  </w:num>
  <w:num w:numId="16">
    <w:abstractNumId w:val="21"/>
  </w:num>
  <w:num w:numId="17">
    <w:abstractNumId w:val="5"/>
  </w:num>
  <w:num w:numId="18">
    <w:abstractNumId w:val="24"/>
  </w:num>
  <w:num w:numId="19">
    <w:abstractNumId w:val="7"/>
  </w:num>
  <w:num w:numId="20">
    <w:abstractNumId w:val="3"/>
  </w:num>
  <w:num w:numId="21">
    <w:abstractNumId w:val="14"/>
  </w:num>
  <w:num w:numId="22">
    <w:abstractNumId w:val="0"/>
  </w:num>
  <w:num w:numId="23">
    <w:abstractNumId w:val="23"/>
  </w:num>
  <w:num w:numId="24">
    <w:abstractNumId w:val="9"/>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9C"/>
    <w:rsid w:val="00050C71"/>
    <w:rsid w:val="00063A8D"/>
    <w:rsid w:val="00087B9E"/>
    <w:rsid w:val="001E0CC4"/>
    <w:rsid w:val="001E29ED"/>
    <w:rsid w:val="00265839"/>
    <w:rsid w:val="002A06BD"/>
    <w:rsid w:val="00315D5D"/>
    <w:rsid w:val="003E4448"/>
    <w:rsid w:val="003F2030"/>
    <w:rsid w:val="00426898"/>
    <w:rsid w:val="00457200"/>
    <w:rsid w:val="00467C2E"/>
    <w:rsid w:val="005473D7"/>
    <w:rsid w:val="00554C22"/>
    <w:rsid w:val="00572467"/>
    <w:rsid w:val="00595183"/>
    <w:rsid w:val="00596329"/>
    <w:rsid w:val="005C7F4C"/>
    <w:rsid w:val="006045B7"/>
    <w:rsid w:val="006834FD"/>
    <w:rsid w:val="0069014D"/>
    <w:rsid w:val="006A2B87"/>
    <w:rsid w:val="006A5DF3"/>
    <w:rsid w:val="006F7EC1"/>
    <w:rsid w:val="00752C4D"/>
    <w:rsid w:val="00775E7E"/>
    <w:rsid w:val="007820C8"/>
    <w:rsid w:val="00792E40"/>
    <w:rsid w:val="0079469C"/>
    <w:rsid w:val="00814C54"/>
    <w:rsid w:val="00835F2F"/>
    <w:rsid w:val="00862623"/>
    <w:rsid w:val="008C5842"/>
    <w:rsid w:val="008E1D50"/>
    <w:rsid w:val="008E3308"/>
    <w:rsid w:val="00903C71"/>
    <w:rsid w:val="00970828"/>
    <w:rsid w:val="00975CBE"/>
    <w:rsid w:val="009A1605"/>
    <w:rsid w:val="009F71E1"/>
    <w:rsid w:val="00AA24DF"/>
    <w:rsid w:val="00B22AA2"/>
    <w:rsid w:val="00B30603"/>
    <w:rsid w:val="00CF62B4"/>
    <w:rsid w:val="00D2338A"/>
    <w:rsid w:val="00DC69D5"/>
    <w:rsid w:val="00DD37B2"/>
    <w:rsid w:val="00E25639"/>
    <w:rsid w:val="00FD500A"/>
    <w:rsid w:val="00FD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315C"/>
  <w15:chartTrackingRefBased/>
  <w15:docId w15:val="{91E94E48-76A9-8349-8683-FFCCF048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D5D"/>
    <w:rPr>
      <w:rFonts w:ascii="Times New Roman" w:eastAsia="Times New Roman" w:hAnsi="Times New Roman" w:cs="Times New Roman"/>
    </w:rPr>
  </w:style>
  <w:style w:type="paragraph" w:styleId="Heading1">
    <w:name w:val="heading 1"/>
    <w:basedOn w:val="Normal"/>
    <w:next w:val="Normal"/>
    <w:link w:val="Heading1Char"/>
    <w:uiPriority w:val="9"/>
    <w:qFormat/>
    <w:rsid w:val="006045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45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F20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9C"/>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3F2030"/>
    <w:rPr>
      <w:rFonts w:ascii="Times New Roman" w:eastAsia="Times New Roman" w:hAnsi="Times New Roman" w:cs="Times New Roman"/>
      <w:b/>
      <w:bCs/>
      <w:sz w:val="27"/>
      <w:szCs w:val="27"/>
    </w:rPr>
  </w:style>
  <w:style w:type="paragraph" w:styleId="NormalWeb">
    <w:name w:val="Normal (Web)"/>
    <w:basedOn w:val="Normal"/>
    <w:uiPriority w:val="99"/>
    <w:unhideWhenUsed/>
    <w:rsid w:val="003F2030"/>
    <w:pPr>
      <w:spacing w:before="100" w:beforeAutospacing="1" w:after="100" w:afterAutospacing="1"/>
    </w:pPr>
  </w:style>
  <w:style w:type="character" w:styleId="Hyperlink">
    <w:name w:val="Hyperlink"/>
    <w:basedOn w:val="DefaultParagraphFont"/>
    <w:uiPriority w:val="99"/>
    <w:semiHidden/>
    <w:unhideWhenUsed/>
    <w:rsid w:val="008E1D50"/>
    <w:rPr>
      <w:color w:val="0000FF"/>
      <w:u w:val="single"/>
    </w:rPr>
  </w:style>
  <w:style w:type="paragraph" w:customStyle="1" w:styleId="newstext">
    <w:name w:val="newstext"/>
    <w:basedOn w:val="Normal"/>
    <w:rsid w:val="00265839"/>
    <w:pPr>
      <w:spacing w:before="100" w:beforeAutospacing="1" w:after="100" w:afterAutospacing="1"/>
    </w:pPr>
  </w:style>
  <w:style w:type="paragraph" w:customStyle="1" w:styleId="p-text">
    <w:name w:val="p-text"/>
    <w:basedOn w:val="Normal"/>
    <w:rsid w:val="00265839"/>
    <w:pPr>
      <w:spacing w:before="100" w:beforeAutospacing="1" w:after="100" w:afterAutospacing="1"/>
    </w:pPr>
  </w:style>
  <w:style w:type="character" w:styleId="Emphasis">
    <w:name w:val="Emphasis"/>
    <w:basedOn w:val="DefaultParagraphFont"/>
    <w:uiPriority w:val="20"/>
    <w:qFormat/>
    <w:rsid w:val="00265839"/>
    <w:rPr>
      <w:i/>
      <w:iCs/>
    </w:rPr>
  </w:style>
  <w:style w:type="paragraph" w:styleId="Footer">
    <w:name w:val="footer"/>
    <w:basedOn w:val="Normal"/>
    <w:link w:val="FooterChar"/>
    <w:uiPriority w:val="99"/>
    <w:unhideWhenUsed/>
    <w:rsid w:val="008C5842"/>
    <w:pPr>
      <w:tabs>
        <w:tab w:val="center" w:pos="4680"/>
        <w:tab w:val="right" w:pos="9360"/>
      </w:tabs>
    </w:pPr>
  </w:style>
  <w:style w:type="character" w:customStyle="1" w:styleId="FooterChar">
    <w:name w:val="Footer Char"/>
    <w:basedOn w:val="DefaultParagraphFont"/>
    <w:link w:val="Footer"/>
    <w:uiPriority w:val="99"/>
    <w:rsid w:val="008C5842"/>
    <w:rPr>
      <w:rFonts w:ascii="Times New Roman" w:eastAsia="Times New Roman" w:hAnsi="Times New Roman" w:cs="Times New Roman"/>
    </w:rPr>
  </w:style>
  <w:style w:type="character" w:styleId="PageNumber">
    <w:name w:val="page number"/>
    <w:basedOn w:val="DefaultParagraphFont"/>
    <w:uiPriority w:val="99"/>
    <w:semiHidden/>
    <w:unhideWhenUsed/>
    <w:rsid w:val="008C5842"/>
  </w:style>
  <w:style w:type="paragraph" w:styleId="Header">
    <w:name w:val="header"/>
    <w:basedOn w:val="Normal"/>
    <w:link w:val="HeaderChar"/>
    <w:uiPriority w:val="99"/>
    <w:unhideWhenUsed/>
    <w:rsid w:val="008C5842"/>
    <w:pPr>
      <w:tabs>
        <w:tab w:val="center" w:pos="4680"/>
        <w:tab w:val="right" w:pos="9360"/>
      </w:tabs>
    </w:pPr>
  </w:style>
  <w:style w:type="character" w:customStyle="1" w:styleId="HeaderChar">
    <w:name w:val="Header Char"/>
    <w:basedOn w:val="DefaultParagraphFont"/>
    <w:link w:val="Header"/>
    <w:uiPriority w:val="99"/>
    <w:rsid w:val="008C584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045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45B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6045B7"/>
    <w:pPr>
      <w:jc w:val="both"/>
    </w:pPr>
    <w:rPr>
      <w:rFonts w:ascii="Palatino" w:hAnsi="Palatino"/>
      <w:b/>
      <w:szCs w:val="20"/>
    </w:rPr>
  </w:style>
  <w:style w:type="character" w:customStyle="1" w:styleId="BodyTextChar">
    <w:name w:val="Body Text Char"/>
    <w:basedOn w:val="DefaultParagraphFont"/>
    <w:link w:val="BodyText"/>
    <w:rsid w:val="006045B7"/>
    <w:rPr>
      <w:rFonts w:ascii="Palatino" w:eastAsia="Times New Roman" w:hAnsi="Palatino" w:cs="Times New Roman"/>
      <w:b/>
      <w:szCs w:val="20"/>
    </w:rPr>
  </w:style>
  <w:style w:type="paragraph" w:styleId="BodyTextIndent">
    <w:name w:val="Body Text Indent"/>
    <w:basedOn w:val="Normal"/>
    <w:link w:val="BodyTextIndentChar"/>
    <w:uiPriority w:val="99"/>
    <w:semiHidden/>
    <w:unhideWhenUsed/>
    <w:rsid w:val="006045B7"/>
    <w:pPr>
      <w:spacing w:after="120"/>
      <w:ind w:left="360"/>
    </w:pPr>
    <w:rPr>
      <w:rFonts w:ascii="Palatino" w:hAnsi="Palatino"/>
      <w:szCs w:val="20"/>
    </w:rPr>
  </w:style>
  <w:style w:type="character" w:customStyle="1" w:styleId="BodyTextIndentChar">
    <w:name w:val="Body Text Indent Char"/>
    <w:basedOn w:val="DefaultParagraphFont"/>
    <w:link w:val="BodyTextIndent"/>
    <w:uiPriority w:val="99"/>
    <w:semiHidden/>
    <w:rsid w:val="006045B7"/>
    <w:rPr>
      <w:rFonts w:ascii="Palatino" w:eastAsia="Times New Roman" w:hAnsi="Palatino" w:cs="Times New Roman"/>
      <w:szCs w:val="20"/>
    </w:rPr>
  </w:style>
  <w:style w:type="paragraph" w:styleId="BodyText2">
    <w:name w:val="Body Text 2"/>
    <w:basedOn w:val="Normal"/>
    <w:link w:val="BodyText2Char"/>
    <w:uiPriority w:val="99"/>
    <w:semiHidden/>
    <w:unhideWhenUsed/>
    <w:rsid w:val="006045B7"/>
    <w:pPr>
      <w:spacing w:after="120" w:line="480" w:lineRule="auto"/>
    </w:pPr>
    <w:rPr>
      <w:rFonts w:ascii="Palatino" w:hAnsi="Palatino"/>
      <w:szCs w:val="20"/>
    </w:rPr>
  </w:style>
  <w:style w:type="character" w:customStyle="1" w:styleId="BodyText2Char">
    <w:name w:val="Body Text 2 Char"/>
    <w:basedOn w:val="DefaultParagraphFont"/>
    <w:link w:val="BodyText2"/>
    <w:uiPriority w:val="99"/>
    <w:semiHidden/>
    <w:rsid w:val="006045B7"/>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596329"/>
    <w:rPr>
      <w:sz w:val="18"/>
      <w:szCs w:val="18"/>
    </w:rPr>
  </w:style>
  <w:style w:type="character" w:customStyle="1" w:styleId="BalloonTextChar">
    <w:name w:val="Balloon Text Char"/>
    <w:basedOn w:val="DefaultParagraphFont"/>
    <w:link w:val="BalloonText"/>
    <w:uiPriority w:val="99"/>
    <w:semiHidden/>
    <w:rsid w:val="0059632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474">
      <w:bodyDiv w:val="1"/>
      <w:marLeft w:val="0"/>
      <w:marRight w:val="0"/>
      <w:marTop w:val="0"/>
      <w:marBottom w:val="0"/>
      <w:divBdr>
        <w:top w:val="none" w:sz="0" w:space="0" w:color="auto"/>
        <w:left w:val="none" w:sz="0" w:space="0" w:color="auto"/>
        <w:bottom w:val="none" w:sz="0" w:space="0" w:color="auto"/>
        <w:right w:val="none" w:sz="0" w:space="0" w:color="auto"/>
      </w:divBdr>
    </w:div>
    <w:div w:id="26494658">
      <w:bodyDiv w:val="1"/>
      <w:marLeft w:val="0"/>
      <w:marRight w:val="0"/>
      <w:marTop w:val="0"/>
      <w:marBottom w:val="0"/>
      <w:divBdr>
        <w:top w:val="none" w:sz="0" w:space="0" w:color="auto"/>
        <w:left w:val="none" w:sz="0" w:space="0" w:color="auto"/>
        <w:bottom w:val="none" w:sz="0" w:space="0" w:color="auto"/>
        <w:right w:val="none" w:sz="0" w:space="0" w:color="auto"/>
      </w:divBdr>
    </w:div>
    <w:div w:id="134880204">
      <w:bodyDiv w:val="1"/>
      <w:marLeft w:val="0"/>
      <w:marRight w:val="0"/>
      <w:marTop w:val="0"/>
      <w:marBottom w:val="0"/>
      <w:divBdr>
        <w:top w:val="none" w:sz="0" w:space="0" w:color="auto"/>
        <w:left w:val="none" w:sz="0" w:space="0" w:color="auto"/>
        <w:bottom w:val="none" w:sz="0" w:space="0" w:color="auto"/>
        <w:right w:val="none" w:sz="0" w:space="0" w:color="auto"/>
      </w:divBdr>
    </w:div>
    <w:div w:id="276330187">
      <w:bodyDiv w:val="1"/>
      <w:marLeft w:val="0"/>
      <w:marRight w:val="0"/>
      <w:marTop w:val="0"/>
      <w:marBottom w:val="0"/>
      <w:divBdr>
        <w:top w:val="none" w:sz="0" w:space="0" w:color="auto"/>
        <w:left w:val="none" w:sz="0" w:space="0" w:color="auto"/>
        <w:bottom w:val="none" w:sz="0" w:space="0" w:color="auto"/>
        <w:right w:val="none" w:sz="0" w:space="0" w:color="auto"/>
      </w:divBdr>
    </w:div>
    <w:div w:id="305160295">
      <w:bodyDiv w:val="1"/>
      <w:marLeft w:val="0"/>
      <w:marRight w:val="0"/>
      <w:marTop w:val="0"/>
      <w:marBottom w:val="0"/>
      <w:divBdr>
        <w:top w:val="none" w:sz="0" w:space="0" w:color="auto"/>
        <w:left w:val="none" w:sz="0" w:space="0" w:color="auto"/>
        <w:bottom w:val="none" w:sz="0" w:space="0" w:color="auto"/>
        <w:right w:val="none" w:sz="0" w:space="0" w:color="auto"/>
      </w:divBdr>
    </w:div>
    <w:div w:id="376049255">
      <w:bodyDiv w:val="1"/>
      <w:marLeft w:val="0"/>
      <w:marRight w:val="0"/>
      <w:marTop w:val="0"/>
      <w:marBottom w:val="0"/>
      <w:divBdr>
        <w:top w:val="none" w:sz="0" w:space="0" w:color="auto"/>
        <w:left w:val="none" w:sz="0" w:space="0" w:color="auto"/>
        <w:bottom w:val="none" w:sz="0" w:space="0" w:color="auto"/>
        <w:right w:val="none" w:sz="0" w:space="0" w:color="auto"/>
      </w:divBdr>
    </w:div>
    <w:div w:id="398556418">
      <w:bodyDiv w:val="1"/>
      <w:marLeft w:val="0"/>
      <w:marRight w:val="0"/>
      <w:marTop w:val="0"/>
      <w:marBottom w:val="0"/>
      <w:divBdr>
        <w:top w:val="none" w:sz="0" w:space="0" w:color="auto"/>
        <w:left w:val="none" w:sz="0" w:space="0" w:color="auto"/>
        <w:bottom w:val="none" w:sz="0" w:space="0" w:color="auto"/>
        <w:right w:val="none" w:sz="0" w:space="0" w:color="auto"/>
      </w:divBdr>
    </w:div>
    <w:div w:id="518616611">
      <w:bodyDiv w:val="1"/>
      <w:marLeft w:val="0"/>
      <w:marRight w:val="0"/>
      <w:marTop w:val="0"/>
      <w:marBottom w:val="0"/>
      <w:divBdr>
        <w:top w:val="none" w:sz="0" w:space="0" w:color="auto"/>
        <w:left w:val="none" w:sz="0" w:space="0" w:color="auto"/>
        <w:bottom w:val="none" w:sz="0" w:space="0" w:color="auto"/>
        <w:right w:val="none" w:sz="0" w:space="0" w:color="auto"/>
      </w:divBdr>
    </w:div>
    <w:div w:id="605426355">
      <w:bodyDiv w:val="1"/>
      <w:marLeft w:val="0"/>
      <w:marRight w:val="0"/>
      <w:marTop w:val="0"/>
      <w:marBottom w:val="0"/>
      <w:divBdr>
        <w:top w:val="none" w:sz="0" w:space="0" w:color="auto"/>
        <w:left w:val="none" w:sz="0" w:space="0" w:color="auto"/>
        <w:bottom w:val="none" w:sz="0" w:space="0" w:color="auto"/>
        <w:right w:val="none" w:sz="0" w:space="0" w:color="auto"/>
      </w:divBdr>
    </w:div>
    <w:div w:id="796222191">
      <w:bodyDiv w:val="1"/>
      <w:marLeft w:val="0"/>
      <w:marRight w:val="0"/>
      <w:marTop w:val="0"/>
      <w:marBottom w:val="0"/>
      <w:divBdr>
        <w:top w:val="none" w:sz="0" w:space="0" w:color="auto"/>
        <w:left w:val="none" w:sz="0" w:space="0" w:color="auto"/>
        <w:bottom w:val="none" w:sz="0" w:space="0" w:color="auto"/>
        <w:right w:val="none" w:sz="0" w:space="0" w:color="auto"/>
      </w:divBdr>
    </w:div>
    <w:div w:id="925112445">
      <w:bodyDiv w:val="1"/>
      <w:marLeft w:val="0"/>
      <w:marRight w:val="0"/>
      <w:marTop w:val="0"/>
      <w:marBottom w:val="0"/>
      <w:divBdr>
        <w:top w:val="none" w:sz="0" w:space="0" w:color="auto"/>
        <w:left w:val="none" w:sz="0" w:space="0" w:color="auto"/>
        <w:bottom w:val="none" w:sz="0" w:space="0" w:color="auto"/>
        <w:right w:val="none" w:sz="0" w:space="0" w:color="auto"/>
      </w:divBdr>
    </w:div>
    <w:div w:id="1007824880">
      <w:bodyDiv w:val="1"/>
      <w:marLeft w:val="0"/>
      <w:marRight w:val="0"/>
      <w:marTop w:val="0"/>
      <w:marBottom w:val="0"/>
      <w:divBdr>
        <w:top w:val="none" w:sz="0" w:space="0" w:color="auto"/>
        <w:left w:val="none" w:sz="0" w:space="0" w:color="auto"/>
        <w:bottom w:val="none" w:sz="0" w:space="0" w:color="auto"/>
        <w:right w:val="none" w:sz="0" w:space="0" w:color="auto"/>
      </w:divBdr>
    </w:div>
    <w:div w:id="1043941525">
      <w:bodyDiv w:val="1"/>
      <w:marLeft w:val="0"/>
      <w:marRight w:val="0"/>
      <w:marTop w:val="0"/>
      <w:marBottom w:val="0"/>
      <w:divBdr>
        <w:top w:val="none" w:sz="0" w:space="0" w:color="auto"/>
        <w:left w:val="none" w:sz="0" w:space="0" w:color="auto"/>
        <w:bottom w:val="none" w:sz="0" w:space="0" w:color="auto"/>
        <w:right w:val="none" w:sz="0" w:space="0" w:color="auto"/>
      </w:divBdr>
    </w:div>
    <w:div w:id="1052771229">
      <w:bodyDiv w:val="1"/>
      <w:marLeft w:val="0"/>
      <w:marRight w:val="0"/>
      <w:marTop w:val="0"/>
      <w:marBottom w:val="0"/>
      <w:divBdr>
        <w:top w:val="none" w:sz="0" w:space="0" w:color="auto"/>
        <w:left w:val="none" w:sz="0" w:space="0" w:color="auto"/>
        <w:bottom w:val="none" w:sz="0" w:space="0" w:color="auto"/>
        <w:right w:val="none" w:sz="0" w:space="0" w:color="auto"/>
      </w:divBdr>
    </w:div>
    <w:div w:id="1331829963">
      <w:bodyDiv w:val="1"/>
      <w:marLeft w:val="0"/>
      <w:marRight w:val="0"/>
      <w:marTop w:val="0"/>
      <w:marBottom w:val="0"/>
      <w:divBdr>
        <w:top w:val="none" w:sz="0" w:space="0" w:color="auto"/>
        <w:left w:val="none" w:sz="0" w:space="0" w:color="auto"/>
        <w:bottom w:val="none" w:sz="0" w:space="0" w:color="auto"/>
        <w:right w:val="none" w:sz="0" w:space="0" w:color="auto"/>
      </w:divBdr>
    </w:div>
    <w:div w:id="1354191465">
      <w:bodyDiv w:val="1"/>
      <w:marLeft w:val="0"/>
      <w:marRight w:val="0"/>
      <w:marTop w:val="0"/>
      <w:marBottom w:val="0"/>
      <w:divBdr>
        <w:top w:val="none" w:sz="0" w:space="0" w:color="auto"/>
        <w:left w:val="none" w:sz="0" w:space="0" w:color="auto"/>
        <w:bottom w:val="none" w:sz="0" w:space="0" w:color="auto"/>
        <w:right w:val="none" w:sz="0" w:space="0" w:color="auto"/>
      </w:divBdr>
    </w:div>
    <w:div w:id="1369917270">
      <w:bodyDiv w:val="1"/>
      <w:marLeft w:val="0"/>
      <w:marRight w:val="0"/>
      <w:marTop w:val="0"/>
      <w:marBottom w:val="0"/>
      <w:divBdr>
        <w:top w:val="none" w:sz="0" w:space="0" w:color="auto"/>
        <w:left w:val="none" w:sz="0" w:space="0" w:color="auto"/>
        <w:bottom w:val="none" w:sz="0" w:space="0" w:color="auto"/>
        <w:right w:val="none" w:sz="0" w:space="0" w:color="auto"/>
      </w:divBdr>
    </w:div>
    <w:div w:id="1385593189">
      <w:bodyDiv w:val="1"/>
      <w:marLeft w:val="0"/>
      <w:marRight w:val="0"/>
      <w:marTop w:val="0"/>
      <w:marBottom w:val="0"/>
      <w:divBdr>
        <w:top w:val="none" w:sz="0" w:space="0" w:color="auto"/>
        <w:left w:val="none" w:sz="0" w:space="0" w:color="auto"/>
        <w:bottom w:val="none" w:sz="0" w:space="0" w:color="auto"/>
        <w:right w:val="none" w:sz="0" w:space="0" w:color="auto"/>
      </w:divBdr>
    </w:div>
    <w:div w:id="1595671480">
      <w:bodyDiv w:val="1"/>
      <w:marLeft w:val="0"/>
      <w:marRight w:val="0"/>
      <w:marTop w:val="0"/>
      <w:marBottom w:val="0"/>
      <w:divBdr>
        <w:top w:val="none" w:sz="0" w:space="0" w:color="auto"/>
        <w:left w:val="none" w:sz="0" w:space="0" w:color="auto"/>
        <w:bottom w:val="none" w:sz="0" w:space="0" w:color="auto"/>
        <w:right w:val="none" w:sz="0" w:space="0" w:color="auto"/>
      </w:divBdr>
    </w:div>
    <w:div w:id="1654018744">
      <w:bodyDiv w:val="1"/>
      <w:marLeft w:val="0"/>
      <w:marRight w:val="0"/>
      <w:marTop w:val="0"/>
      <w:marBottom w:val="0"/>
      <w:divBdr>
        <w:top w:val="none" w:sz="0" w:space="0" w:color="auto"/>
        <w:left w:val="none" w:sz="0" w:space="0" w:color="auto"/>
        <w:bottom w:val="none" w:sz="0" w:space="0" w:color="auto"/>
        <w:right w:val="none" w:sz="0" w:space="0" w:color="auto"/>
      </w:divBdr>
    </w:div>
    <w:div w:id="1734617003">
      <w:bodyDiv w:val="1"/>
      <w:marLeft w:val="0"/>
      <w:marRight w:val="0"/>
      <w:marTop w:val="0"/>
      <w:marBottom w:val="0"/>
      <w:divBdr>
        <w:top w:val="none" w:sz="0" w:space="0" w:color="auto"/>
        <w:left w:val="none" w:sz="0" w:space="0" w:color="auto"/>
        <w:bottom w:val="none" w:sz="0" w:space="0" w:color="auto"/>
        <w:right w:val="none" w:sz="0" w:space="0" w:color="auto"/>
      </w:divBdr>
    </w:div>
    <w:div w:id="1895507293">
      <w:bodyDiv w:val="1"/>
      <w:marLeft w:val="0"/>
      <w:marRight w:val="0"/>
      <w:marTop w:val="0"/>
      <w:marBottom w:val="0"/>
      <w:divBdr>
        <w:top w:val="none" w:sz="0" w:space="0" w:color="auto"/>
        <w:left w:val="none" w:sz="0" w:space="0" w:color="auto"/>
        <w:bottom w:val="none" w:sz="0" w:space="0" w:color="auto"/>
        <w:right w:val="none" w:sz="0" w:space="0" w:color="auto"/>
      </w:divBdr>
    </w:div>
    <w:div w:id="1921211327">
      <w:bodyDiv w:val="1"/>
      <w:marLeft w:val="0"/>
      <w:marRight w:val="0"/>
      <w:marTop w:val="0"/>
      <w:marBottom w:val="0"/>
      <w:divBdr>
        <w:top w:val="none" w:sz="0" w:space="0" w:color="auto"/>
        <w:left w:val="none" w:sz="0" w:space="0" w:color="auto"/>
        <w:bottom w:val="none" w:sz="0" w:space="0" w:color="auto"/>
        <w:right w:val="none" w:sz="0" w:space="0" w:color="auto"/>
      </w:divBdr>
    </w:div>
    <w:div w:id="19367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5</cp:revision>
  <cp:lastPrinted>2019-10-07T21:15:00Z</cp:lastPrinted>
  <dcterms:created xsi:type="dcterms:W3CDTF">2019-10-07T21:16:00Z</dcterms:created>
  <dcterms:modified xsi:type="dcterms:W3CDTF">2019-10-08T17:57:00Z</dcterms:modified>
</cp:coreProperties>
</file>